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v:background id="_x0000_s1025">
      <v:fill type="frame" on="t" color2="#FFFFFF" o:title="F376A70B-D36F-429B-A8A6-7E197B36602B" focussize="0,0" recolor="t" r:id="rId10"/>
    </v:background>
  </w:background>
  <w:body>
    <w:p w14:paraId="42191730">
      <w:bookmarkStart w:id="12" w:name="_GoBack"/>
      <w:bookmarkEnd w:id="12"/>
      <w:r>
        <w:drawing>
          <wp:anchor distT="0" distB="0" distL="0" distR="0" simplePos="0" relativeHeight="251660288" behindDoc="1" locked="0" layoutInCell="1" allowOverlap="1">
            <wp:simplePos x="0" y="0"/>
            <wp:positionH relativeFrom="page">
              <wp:posOffset>0</wp:posOffset>
            </wp:positionH>
            <wp:positionV relativeFrom="page">
              <wp:posOffset>0</wp:posOffset>
            </wp:positionV>
            <wp:extent cx="7560310" cy="10692130"/>
            <wp:effectExtent l="0" t="0" r="8890" b="1270"/>
            <wp:wrapNone/>
            <wp:docPr id="1" name="CoverBg" descr="/Users/chejunzheng/Desktop/5D41B1D5-4226-4EBC-8731-B949D16335B2.png5D41B1D5-4226-4EBC-8731-B949D16335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Bg" descr="/Users/chejunzheng/Desktop/5D41B1D5-4226-4EBC-8731-B949D16335B2.png5D41B1D5-4226-4EBC-8731-B949D16335B2"/>
                    <pic:cNvPicPr>
                      <a:picLocks noChangeAspect="1"/>
                    </pic:cNvPicPr>
                  </pic:nvPicPr>
                  <pic:blipFill>
                    <a:blip r:embed="rId11"/>
                    <a:srcRect l="36" r="36"/>
                    <a:stretch>
                      <a:fillRect/>
                    </a:stretch>
                  </pic:blipFill>
                  <pic:spPr>
                    <a:xfrm>
                      <a:off x="0" y="0"/>
                      <a:ext cx="7560000" cy="10692130"/>
                    </a:xfrm>
                    <a:prstGeom prst="rect">
                      <a:avLst/>
                    </a:prstGeom>
                  </pic:spPr>
                </pic:pic>
              </a:graphicData>
            </a:graphic>
          </wp:anchor>
        </w:drawing>
      </w:r>
    </w:p>
    <w:p w14:paraId="5648624B">
      <w:pPr>
        <w:sectPr>
          <w:headerReference r:id="rId6" w:type="first"/>
          <w:headerReference r:id="rId5" w:type="default"/>
          <w:pgSz w:w="11906" w:h="16838"/>
          <w:pgMar w:top="0" w:right="0" w:bottom="0" w:left="0" w:header="0" w:footer="0" w:gutter="0"/>
          <w:cols w:space="720" w:num="1"/>
          <w:titlePg/>
        </w:sectPr>
      </w:pPr>
    </w:p>
    <w:p w14:paraId="1CFC76CB">
      <w:pPr>
        <w:pStyle w:val="2"/>
      </w:pPr>
      <w:r>
        <w:t>目录</w:t>
      </w:r>
      <w:bookmarkStart w:id="0" w:name="_Toc000"/>
      <w:bookmarkEnd w:id="0"/>
      <w:r>
        <w:fldChar w:fldCharType="begin"/>
      </w:r>
      <w:r>
        <w:instrText xml:space="preserve"> TOC \o "1-3" \h \z \u </w:instrText>
      </w:r>
      <w:r>
        <w:fldChar w:fldCharType="separate"/>
      </w:r>
    </w:p>
    <w:p w14:paraId="541F11EC">
      <w:pPr>
        <w:pStyle w:val="9"/>
      </w:pPr>
      <w:r>
        <w:t>一、执行摘要</w:t>
      </w:r>
      <w:r>
        <w:tab/>
      </w:r>
      <w:r>
        <w:t>1</w:t>
      </w:r>
    </w:p>
    <w:p w14:paraId="5E9C1403">
      <w:pPr>
        <w:pStyle w:val="9"/>
      </w:pPr>
      <w:r>
        <w:t>二、项目背景</w:t>
      </w:r>
      <w:r>
        <w:tab/>
      </w:r>
      <w:r>
        <w:t>2</w:t>
      </w:r>
    </w:p>
    <w:p w14:paraId="5650373F">
      <w:pPr>
        <w:pStyle w:val="10"/>
      </w:pPr>
      <w:r>
        <w:t>2.1 东北冶金产业现状</w:t>
      </w:r>
      <w:r>
        <w:tab/>
      </w:r>
      <w:r>
        <w:t>3</w:t>
      </w:r>
    </w:p>
    <w:p w14:paraId="3F4EFD61">
      <w:pPr>
        <w:pStyle w:val="10"/>
      </w:pPr>
      <w:r>
        <w:t>2.2 行业痛点分析</w:t>
      </w:r>
      <w:r>
        <w:tab/>
      </w:r>
      <w:r>
        <w:t>4</w:t>
      </w:r>
    </w:p>
    <w:p w14:paraId="7E990C5A">
      <w:pPr>
        <w:pStyle w:val="10"/>
      </w:pPr>
      <w:r>
        <w:t>2.3 政策机遇</w:t>
      </w:r>
      <w:r>
        <w:tab/>
      </w:r>
      <w:r>
        <w:t>5</w:t>
      </w:r>
    </w:p>
    <w:p w14:paraId="31561EB3">
      <w:pPr>
        <w:pStyle w:val="9"/>
      </w:pPr>
      <w:r>
        <w:t>三、解决方案</w:t>
      </w:r>
      <w:r>
        <w:tab/>
      </w:r>
      <w:r>
        <w:t>6</w:t>
      </w:r>
    </w:p>
    <w:p w14:paraId="67B8E38A">
      <w:pPr>
        <w:pStyle w:val="10"/>
      </w:pPr>
      <w:r>
        <w:t>3.1 平台概述</w:t>
      </w:r>
      <w:r>
        <w:tab/>
      </w:r>
      <w:r>
        <w:t>7</w:t>
      </w:r>
    </w:p>
    <w:p w14:paraId="130746B0">
      <w:pPr>
        <w:pStyle w:val="10"/>
      </w:pPr>
      <w:r>
        <w:t>3.2 技术架构</w:t>
      </w:r>
      <w:r>
        <w:tab/>
      </w:r>
      <w:r>
        <w:t>8</w:t>
      </w:r>
    </w:p>
    <w:p w14:paraId="072942DE">
      <w:pPr>
        <w:pStyle w:val="10"/>
      </w:pPr>
      <w:r>
        <w:t>3.3 核心功能模块</w:t>
      </w:r>
      <w:r>
        <w:tab/>
      </w:r>
      <w:r>
        <w:t>9</w:t>
      </w:r>
    </w:p>
    <w:p w14:paraId="7CE1E54E">
      <w:pPr>
        <w:pStyle w:val="9"/>
      </w:pPr>
      <w:r>
        <w:t>四、技术创新</w:t>
      </w:r>
      <w:r>
        <w:tab/>
      </w:r>
      <w:r>
        <w:t>10</w:t>
      </w:r>
    </w:p>
    <w:p w14:paraId="590D300B">
      <w:pPr>
        <w:pStyle w:val="10"/>
      </w:pPr>
      <w:r>
        <w:t>4.1 统计过程控制</w:t>
      </w:r>
      <w:r>
        <w:tab/>
      </w:r>
      <w:r>
        <w:t>11</w:t>
      </w:r>
    </w:p>
    <w:p w14:paraId="483E64A6">
      <w:pPr>
        <w:pStyle w:val="10"/>
      </w:pPr>
      <w:r>
        <w:t>4.2 AI预测模型</w:t>
      </w:r>
      <w:r>
        <w:tab/>
      </w:r>
      <w:r>
        <w:t>12</w:t>
      </w:r>
    </w:p>
    <w:p w14:paraId="27D186D2">
      <w:pPr>
        <w:pStyle w:val="10"/>
      </w:pPr>
      <w:r>
        <w:t>4.3 数字孪生技术</w:t>
      </w:r>
      <w:r>
        <w:tab/>
      </w:r>
      <w:r>
        <w:t>13</w:t>
      </w:r>
    </w:p>
    <w:p w14:paraId="73AD1BA7">
      <w:pPr>
        <w:pStyle w:val="9"/>
      </w:pPr>
      <w:r>
        <w:t>五、应用场景</w:t>
      </w:r>
      <w:r>
        <w:tab/>
      </w:r>
      <w:r>
        <w:t>14</w:t>
      </w:r>
    </w:p>
    <w:p w14:paraId="109339D9">
      <w:pPr>
        <w:pStyle w:val="10"/>
      </w:pPr>
      <w:r>
        <w:t>5.1 质量智能预警</w:t>
      </w:r>
      <w:r>
        <w:tab/>
      </w:r>
      <w:r>
        <w:t>15</w:t>
      </w:r>
    </w:p>
    <w:p w14:paraId="520DB042">
      <w:pPr>
        <w:pStyle w:val="10"/>
      </w:pPr>
      <w:r>
        <w:t>5.2 能耗优化</w:t>
      </w:r>
      <w:r>
        <w:tab/>
      </w:r>
      <w:r>
        <w:t>16</w:t>
      </w:r>
    </w:p>
    <w:p w14:paraId="0147A800">
      <w:pPr>
        <w:pStyle w:val="10"/>
      </w:pPr>
      <w:r>
        <w:t>5.3 设备健康管理</w:t>
      </w:r>
      <w:r>
        <w:tab/>
      </w:r>
      <w:r>
        <w:t>17</w:t>
      </w:r>
    </w:p>
    <w:p w14:paraId="4BFDB5E0">
      <w:pPr>
        <w:pStyle w:val="9"/>
      </w:pPr>
      <w:r>
        <w:t>六、商业模式</w:t>
      </w:r>
      <w:r>
        <w:tab/>
      </w:r>
      <w:r>
        <w:t>18</w:t>
      </w:r>
    </w:p>
    <w:p w14:paraId="099793ED">
      <w:pPr>
        <w:pStyle w:val="10"/>
      </w:pPr>
      <w:r>
        <w:t>6.1 市场分析</w:t>
      </w:r>
      <w:r>
        <w:tab/>
      </w:r>
      <w:r>
        <w:t>19</w:t>
      </w:r>
    </w:p>
    <w:p w14:paraId="57C68C89">
      <w:pPr>
        <w:pStyle w:val="10"/>
      </w:pPr>
      <w:r>
        <w:t>6.2 盈利模式</w:t>
      </w:r>
      <w:r>
        <w:tab/>
      </w:r>
      <w:r>
        <w:t>20</w:t>
      </w:r>
    </w:p>
    <w:p w14:paraId="561411C2">
      <w:pPr>
        <w:pStyle w:val="9"/>
      </w:pPr>
      <w:r>
        <w:t>七、团队介绍</w:t>
      </w:r>
      <w:r>
        <w:tab/>
      </w:r>
      <w:r>
        <w:t>21</w:t>
      </w:r>
    </w:p>
    <w:p w14:paraId="0F4D72B0">
      <w:pPr>
        <w:pStyle w:val="9"/>
      </w:pPr>
      <w:r>
        <w:t>八、发展规划</w:t>
      </w:r>
      <w:r>
        <w:tab/>
      </w:r>
      <w:r>
        <w:t>22</w:t>
      </w:r>
    </w:p>
    <w:p w14:paraId="669083DB">
      <w:pPr>
        <w:pStyle w:val="9"/>
      </w:pPr>
      <w:r>
        <w:t>九、社会价值</w:t>
      </w:r>
      <w:r>
        <w:tab/>
      </w:r>
      <w:r>
        <w:t>23</w:t>
      </w:r>
    </w:p>
    <w:p w14:paraId="71AC7F27">
      <w:pPr>
        <w:pStyle w:val="9"/>
      </w:pPr>
      <w:r>
        <w:t>十、财务预测</w:t>
      </w:r>
      <w:r>
        <w:tab/>
      </w:r>
      <w:r>
        <w:t>24</w:t>
      </w:r>
    </w:p>
    <w:p w14:paraId="4A5FC3F1">
      <w:pPr>
        <w:pStyle w:val="9"/>
      </w:pPr>
      <w:r>
        <w:t>十一、风险与对策</w:t>
      </w:r>
      <w:r>
        <w:tab/>
      </w:r>
      <w:r>
        <w:t>25</w:t>
      </w:r>
    </w:p>
    <w:p w14:paraId="3425B260">
      <w:r>
        <w:fldChar w:fldCharType="end"/>
      </w:r>
    </w:p>
    <w:p w14:paraId="14E62910">
      <w:pPr>
        <w:sectPr>
          <w:pgSz w:w="11906" w:h="16838"/>
          <w:pgMar w:top="1800" w:right="1440" w:bottom="1440" w:left="1440" w:header="720" w:footer="720" w:gutter="0"/>
          <w:cols w:space="720" w:num="1"/>
        </w:sectPr>
      </w:pPr>
    </w:p>
    <w:p w14:paraId="4AD85719">
      <w:pPr>
        <w:pStyle w:val="2"/>
      </w:pPr>
      <w:r>
        <w:t>一、执行摘要</w:t>
      </w:r>
      <w:bookmarkStart w:id="1" w:name="_Toc001"/>
      <w:bookmarkEnd w:id="1"/>
    </w:p>
    <w:p w14:paraId="6527980F">
      <w:r>
        <w:t>钢铁工业是国民经济的重要基础产业，也是能源消耗和碳排放的重点领域。我国钢铁行业碳排放量占全国碳排放总量的15%，是制造业中碳排放量最大的行业。东北地区作为"共和国工业长子"，粗钢产量占全国9.3%，拥有鞍钢、本钢等大型钢铁企业，产业基础雄厚，但数字化转型相对滞后，面临着质量管控粗放、能耗偏高、设备维护被动等突出问题。</w:t>
      </w:r>
    </w:p>
    <w:p w14:paraId="497DAB1C">
      <w:r>
        <w:t>本项目"数智冶能"，旨在构建一套基于工业大数据与统计过程控制的东北冶金产业质量智能预警与能效优化平台。平台以统计过程控制（SPC）为理论基础，融合人工智能、数字孪生、边缘计算等前沿技术，为冶金企业提供质量实时监控、能耗智能优化、设备预测性维护等核心功能，助力企业降本增效、绿色转型。</w:t>
      </w:r>
    </w:p>
    <w:p w14:paraId="49A1BFF1">
      <w:r>
        <w:t>项目团队由华中师范大学数学与统计学学院、计算机学院、人工智能教育学部等多学科背景的学生组成，在统计分析、机器学习、数据可视化等方面具有扎实的技术积累。平台已完成原型开发，并在模拟环境中验证核心算法的有效性，质量异常检出率达到96.5%，能耗预测误差低于3.2%。</w:t>
      </w:r>
    </w:p>
    <w:p w14:paraId="44BD6E29">
      <w:r>
        <w:t>项目的社会价值体现在三个维度：一是助力东北老工业基地数字化转型，服务国家东北振兴战略；二是推动钢铁行业绿色低碳发展，助力"双碳"目标实现；三是培养复合型人才，促进产学研深度融合。</w:t>
      </w:r>
    </w:p>
    <w:p w14:paraId="61A41549">
      <w:pPr>
        <w:pStyle w:val="2"/>
      </w:pPr>
      <w:r>
        <w:t>二、项目背景</w:t>
      </w:r>
      <w:bookmarkStart w:id="2" w:name="_Toc002"/>
      <w:bookmarkEnd w:id="2"/>
    </w:p>
    <w:p w14:paraId="6B4C0503">
      <w:pPr>
        <w:pStyle w:val="3"/>
      </w:pPr>
      <w:r>
        <w:t>2.1 东北冶金产业现状</w:t>
      </w:r>
    </w:p>
    <w:p w14:paraId="1C791A39">
      <w:r>
        <w:t>东北地区是我国重要的老工业基地，钢铁产业在全国占据重要地位。根据国家统计局数据，2024年全国粗钢产量为10.05亿吨，其中东北三省粗钢产量合计约9385.88万吨，占全国总产量的9.3%。辽宁省粗钢产量排名全国第四，是东北地区钢铁产业的核心省份。</w:t>
      </w:r>
    </w:p>
    <w:p w14:paraId="7119E4FA">
      <w:r>
        <w:t>鞍钢集团作为东北地区最大的钢铁企业，2024年粗钢产能达到7000万吨级，位居全球第三。鞍钢集团旗下拥有鞍山钢铁、本钢板材、攀钢等多家子公司，产品覆盖汽车用钢、船舶用钢、管线钢、硅钢等高端品种。近年来，鞍钢集团积极推进数字化转型，"数字鞍钢"建设取得显著成效，智慧指数达到82.67分，获评国家"2025年度卓越级智能工厂"。</w:t>
      </w:r>
    </w:p>
    <w:p w14:paraId="64F22464">
      <w:r>
        <w:t>然而，从整体看，东北地区钢铁产业的数字化转型仍面临诸多挑战。除龙头企业外，大量中小型钢铁企业的数字化水平仍然较低，生产过程依赖人工经验，数据采集不全面，质量管控粗放，能源利用效率与国际先进水平存在差距。</w:t>
      </w:r>
    </w:p>
    <w:p w14:paraId="2F08F5C7">
      <w:r>
        <w:t>表1展示了2024年全国粗钢产量排名前10的省份数据，可以看出东北三省在全国钢铁产业中的重要地位。</w:t>
      </w:r>
    </w:p>
    <w:tbl>
      <w:tblPr>
        <w:tblStyle w:val="11"/>
        <w:tblW w:w="5000" w:type="pct"/>
        <w:tblInd w:w="0" w:type="dxa"/>
        <w:tblBorders>
          <w:top w:val="single" w:color="2C3E50" w:sz="12" w:space="0"/>
          <w:left w:val="none" w:color="auto" w:sz="0" w:space="0"/>
          <w:bottom w:val="single" w:color="2C3E50" w:sz="12" w:space="0"/>
          <w:right w:val="none" w:color="auto" w:sz="0" w:space="0"/>
          <w:insideH w:val="single" w:color="BDC3C7" w:sz="4" w:space="0"/>
          <w:insideV w:val="none" w:color="auto" w:sz="0" w:space="0"/>
        </w:tblBorders>
        <w:tblLayout w:type="autofit"/>
        <w:tblCellMar>
          <w:top w:w="0" w:type="dxa"/>
          <w:left w:w="10" w:type="dxa"/>
          <w:bottom w:w="0" w:type="dxa"/>
          <w:right w:w="10" w:type="dxa"/>
        </w:tblCellMar>
      </w:tblPr>
      <w:tblGrid>
        <w:gridCol w:w="2228"/>
        <w:gridCol w:w="2225"/>
        <w:gridCol w:w="2308"/>
        <w:gridCol w:w="2285"/>
      </w:tblGrid>
      <w:tr w14:paraId="2B158033">
        <w:trPr>
          <w:tblHeader/>
        </w:trPr>
        <w:tc>
          <w:tcPr>
            <w:tcW w:w="2500" w:type="dxa"/>
            <w:shd w:val="clear" w:color="auto" w:fill="EBF5FB"/>
          </w:tcPr>
          <w:p w14:paraId="6F4E63EE">
            <w:pPr>
              <w:spacing w:before="40" w:after="40"/>
              <w:ind w:firstLine="0"/>
              <w:jc w:val="center"/>
            </w:pPr>
            <w:r>
              <w:rPr>
                <w:rFonts w:ascii="Calibri" w:hAnsi="Calibri" w:eastAsia="微软雅黑"/>
                <w:b/>
                <w:color w:val="1A252F"/>
                <w:sz w:val="20"/>
              </w:rPr>
              <w:t>排名</w:t>
            </w:r>
          </w:p>
        </w:tc>
        <w:tc>
          <w:tcPr>
            <w:tcW w:w="2500" w:type="dxa"/>
            <w:shd w:val="clear" w:color="auto" w:fill="EBF5FB"/>
          </w:tcPr>
          <w:p w14:paraId="53360AD2">
            <w:pPr>
              <w:spacing w:before="40" w:after="40"/>
              <w:ind w:firstLine="0"/>
              <w:jc w:val="center"/>
            </w:pPr>
            <w:r>
              <w:rPr>
                <w:rFonts w:ascii="Calibri" w:hAnsi="Calibri" w:eastAsia="微软雅黑"/>
                <w:b/>
                <w:color w:val="1A252F"/>
                <w:sz w:val="20"/>
              </w:rPr>
              <w:t>省份</w:t>
            </w:r>
          </w:p>
        </w:tc>
        <w:tc>
          <w:tcPr>
            <w:tcW w:w="2500" w:type="dxa"/>
            <w:shd w:val="clear" w:color="auto" w:fill="EBF5FB"/>
          </w:tcPr>
          <w:p w14:paraId="0C5D254E">
            <w:pPr>
              <w:spacing w:before="40" w:after="40"/>
              <w:ind w:firstLine="0"/>
              <w:jc w:val="center"/>
            </w:pPr>
            <w:r>
              <w:rPr>
                <w:rFonts w:ascii="Calibri" w:hAnsi="Calibri" w:eastAsia="微软雅黑"/>
                <w:b/>
                <w:color w:val="1A252F"/>
                <w:sz w:val="20"/>
              </w:rPr>
              <w:t>粗钢产量（万吨）</w:t>
            </w:r>
          </w:p>
        </w:tc>
        <w:tc>
          <w:tcPr>
            <w:tcW w:w="2500" w:type="dxa"/>
            <w:shd w:val="clear" w:color="auto" w:fill="EBF5FB"/>
          </w:tcPr>
          <w:p w14:paraId="4DEFEF9C">
            <w:pPr>
              <w:spacing w:before="40" w:after="40"/>
              <w:ind w:firstLine="0"/>
              <w:jc w:val="center"/>
            </w:pPr>
            <w:r>
              <w:rPr>
                <w:rFonts w:ascii="Calibri" w:hAnsi="Calibri" w:eastAsia="微软雅黑"/>
                <w:b/>
                <w:color w:val="1A252F"/>
                <w:sz w:val="20"/>
              </w:rPr>
              <w:t>全国占比</w:t>
            </w:r>
          </w:p>
        </w:tc>
      </w:tr>
      <w:tr w14:paraId="3FB36984">
        <w:tc>
          <w:tcPr>
            <w:tcW w:w="2500" w:type="dxa"/>
          </w:tcPr>
          <w:p w14:paraId="798C27A7">
            <w:pPr>
              <w:spacing w:before="40" w:after="40"/>
              <w:ind w:firstLine="0"/>
              <w:jc w:val="center"/>
            </w:pPr>
            <w:r>
              <w:rPr>
                <w:rFonts w:ascii="Calibri" w:hAnsi="Calibri" w:eastAsia="微软雅黑"/>
                <w:color w:val="5D6D7E"/>
                <w:sz w:val="20"/>
              </w:rPr>
              <w:t>1</w:t>
            </w:r>
          </w:p>
        </w:tc>
        <w:tc>
          <w:tcPr>
            <w:tcW w:w="2500" w:type="dxa"/>
          </w:tcPr>
          <w:p w14:paraId="54149802">
            <w:pPr>
              <w:spacing w:before="40" w:after="40"/>
              <w:ind w:firstLine="0"/>
              <w:jc w:val="center"/>
            </w:pPr>
            <w:r>
              <w:rPr>
                <w:rFonts w:ascii="Calibri" w:hAnsi="Calibri" w:eastAsia="微软雅黑"/>
                <w:color w:val="5D6D7E"/>
                <w:sz w:val="20"/>
              </w:rPr>
              <w:t>河北省</w:t>
            </w:r>
          </w:p>
        </w:tc>
        <w:tc>
          <w:tcPr>
            <w:tcW w:w="2500" w:type="dxa"/>
          </w:tcPr>
          <w:p w14:paraId="480FB1CF">
            <w:pPr>
              <w:spacing w:before="40" w:after="40"/>
              <w:ind w:firstLine="0"/>
              <w:jc w:val="center"/>
            </w:pPr>
            <w:r>
              <w:rPr>
                <w:rFonts w:ascii="Calibri" w:hAnsi="Calibri" w:eastAsia="微软雅黑"/>
                <w:color w:val="5D6D7E"/>
                <w:sz w:val="20"/>
              </w:rPr>
              <w:t>19,985.76</w:t>
            </w:r>
          </w:p>
        </w:tc>
        <w:tc>
          <w:tcPr>
            <w:tcW w:w="2500" w:type="dxa"/>
          </w:tcPr>
          <w:p w14:paraId="74C0AABE">
            <w:pPr>
              <w:spacing w:before="40" w:after="40"/>
              <w:ind w:firstLine="0"/>
              <w:jc w:val="center"/>
            </w:pPr>
            <w:r>
              <w:rPr>
                <w:rFonts w:ascii="Calibri" w:hAnsi="Calibri" w:eastAsia="微软雅黑"/>
                <w:color w:val="5D6D7E"/>
                <w:sz w:val="20"/>
              </w:rPr>
              <w:t>19.88%</w:t>
            </w:r>
          </w:p>
        </w:tc>
      </w:tr>
      <w:tr w14:paraId="4A0600FA">
        <w:tc>
          <w:tcPr>
            <w:tcW w:w="2500" w:type="dxa"/>
          </w:tcPr>
          <w:p w14:paraId="4BDA4B22">
            <w:pPr>
              <w:spacing w:before="40" w:after="40"/>
              <w:ind w:firstLine="0"/>
              <w:jc w:val="center"/>
            </w:pPr>
            <w:r>
              <w:rPr>
                <w:rFonts w:ascii="Calibri" w:hAnsi="Calibri" w:eastAsia="微软雅黑"/>
                <w:color w:val="5D6D7E"/>
                <w:sz w:val="20"/>
              </w:rPr>
              <w:t>2</w:t>
            </w:r>
          </w:p>
        </w:tc>
        <w:tc>
          <w:tcPr>
            <w:tcW w:w="2500" w:type="dxa"/>
          </w:tcPr>
          <w:p w14:paraId="3F4B825F">
            <w:pPr>
              <w:spacing w:before="40" w:after="40"/>
              <w:ind w:firstLine="0"/>
              <w:jc w:val="center"/>
            </w:pPr>
            <w:r>
              <w:rPr>
                <w:rFonts w:ascii="Calibri" w:hAnsi="Calibri" w:eastAsia="微软雅黑"/>
                <w:color w:val="5D6D7E"/>
                <w:sz w:val="20"/>
              </w:rPr>
              <w:t>江苏省</w:t>
            </w:r>
          </w:p>
        </w:tc>
        <w:tc>
          <w:tcPr>
            <w:tcW w:w="2500" w:type="dxa"/>
          </w:tcPr>
          <w:p w14:paraId="765B6C5C">
            <w:pPr>
              <w:spacing w:before="40" w:after="40"/>
              <w:ind w:firstLine="0"/>
              <w:jc w:val="center"/>
            </w:pPr>
            <w:r>
              <w:rPr>
                <w:rFonts w:ascii="Calibri" w:hAnsi="Calibri" w:eastAsia="微软雅黑"/>
                <w:color w:val="5D6D7E"/>
                <w:sz w:val="20"/>
              </w:rPr>
              <w:t>11,917.86</w:t>
            </w:r>
          </w:p>
        </w:tc>
        <w:tc>
          <w:tcPr>
            <w:tcW w:w="2500" w:type="dxa"/>
          </w:tcPr>
          <w:p w14:paraId="45495A1F">
            <w:pPr>
              <w:spacing w:before="40" w:after="40"/>
              <w:ind w:firstLine="0"/>
              <w:jc w:val="center"/>
            </w:pPr>
            <w:r>
              <w:rPr>
                <w:rFonts w:ascii="Calibri" w:hAnsi="Calibri" w:eastAsia="微软雅黑"/>
                <w:color w:val="5D6D7E"/>
                <w:sz w:val="20"/>
              </w:rPr>
              <w:t>11.86%</w:t>
            </w:r>
          </w:p>
        </w:tc>
      </w:tr>
      <w:tr w14:paraId="12013BB4">
        <w:tc>
          <w:tcPr>
            <w:tcW w:w="2500" w:type="dxa"/>
          </w:tcPr>
          <w:p w14:paraId="5950E0C3">
            <w:pPr>
              <w:spacing w:before="40" w:after="40"/>
              <w:ind w:firstLine="0"/>
              <w:jc w:val="center"/>
            </w:pPr>
            <w:r>
              <w:rPr>
                <w:rFonts w:ascii="Calibri" w:hAnsi="Calibri" w:eastAsia="微软雅黑"/>
                <w:color w:val="5D6D7E"/>
                <w:sz w:val="20"/>
              </w:rPr>
              <w:t>3</w:t>
            </w:r>
          </w:p>
        </w:tc>
        <w:tc>
          <w:tcPr>
            <w:tcW w:w="2500" w:type="dxa"/>
          </w:tcPr>
          <w:p w14:paraId="59C70582">
            <w:pPr>
              <w:spacing w:before="40" w:after="40"/>
              <w:ind w:firstLine="0"/>
              <w:jc w:val="center"/>
            </w:pPr>
            <w:r>
              <w:rPr>
                <w:rFonts w:ascii="Calibri" w:hAnsi="Calibri" w:eastAsia="微软雅黑"/>
                <w:color w:val="5D6D7E"/>
                <w:sz w:val="20"/>
              </w:rPr>
              <w:t>山东省</w:t>
            </w:r>
          </w:p>
        </w:tc>
        <w:tc>
          <w:tcPr>
            <w:tcW w:w="2500" w:type="dxa"/>
          </w:tcPr>
          <w:p w14:paraId="3FDF8FE3">
            <w:pPr>
              <w:spacing w:before="40" w:after="40"/>
              <w:ind w:firstLine="0"/>
              <w:jc w:val="center"/>
            </w:pPr>
            <w:r>
              <w:rPr>
                <w:rFonts w:ascii="Calibri" w:hAnsi="Calibri" w:eastAsia="微软雅黑"/>
                <w:color w:val="5D6D7E"/>
                <w:sz w:val="20"/>
              </w:rPr>
              <w:t>7,272.80</w:t>
            </w:r>
          </w:p>
        </w:tc>
        <w:tc>
          <w:tcPr>
            <w:tcW w:w="2500" w:type="dxa"/>
          </w:tcPr>
          <w:p w14:paraId="5ED2F927">
            <w:pPr>
              <w:spacing w:before="40" w:after="40"/>
              <w:ind w:firstLine="0"/>
              <w:jc w:val="center"/>
            </w:pPr>
            <w:r>
              <w:rPr>
                <w:rFonts w:ascii="Calibri" w:hAnsi="Calibri" w:eastAsia="微软雅黑"/>
                <w:color w:val="5D6D7E"/>
                <w:sz w:val="20"/>
              </w:rPr>
              <w:t>7.24%</w:t>
            </w:r>
          </w:p>
        </w:tc>
      </w:tr>
      <w:tr w14:paraId="211BE96C">
        <w:tc>
          <w:tcPr>
            <w:tcW w:w="2500" w:type="dxa"/>
          </w:tcPr>
          <w:p w14:paraId="6CD34FE2">
            <w:pPr>
              <w:spacing w:before="40" w:after="40"/>
              <w:ind w:firstLine="0"/>
              <w:jc w:val="center"/>
            </w:pPr>
            <w:r>
              <w:rPr>
                <w:rFonts w:ascii="Calibri" w:hAnsi="Calibri" w:eastAsia="微软雅黑"/>
                <w:color w:val="5D6D7E"/>
                <w:sz w:val="20"/>
              </w:rPr>
              <w:t>4</w:t>
            </w:r>
          </w:p>
        </w:tc>
        <w:tc>
          <w:tcPr>
            <w:tcW w:w="2500" w:type="dxa"/>
          </w:tcPr>
          <w:p w14:paraId="5C5A5502">
            <w:pPr>
              <w:spacing w:before="40" w:after="40"/>
              <w:ind w:firstLine="0"/>
              <w:jc w:val="center"/>
            </w:pPr>
            <w:r>
              <w:rPr>
                <w:rFonts w:ascii="Calibri" w:hAnsi="Calibri" w:eastAsia="微软雅黑"/>
                <w:color w:val="5D6D7E"/>
                <w:sz w:val="20"/>
              </w:rPr>
              <w:t>辽宁省</w:t>
            </w:r>
          </w:p>
        </w:tc>
        <w:tc>
          <w:tcPr>
            <w:tcW w:w="2500" w:type="dxa"/>
          </w:tcPr>
          <w:p w14:paraId="46892F21">
            <w:pPr>
              <w:spacing w:before="40" w:after="40"/>
              <w:ind w:firstLine="0"/>
              <w:jc w:val="center"/>
            </w:pPr>
            <w:r>
              <w:rPr>
                <w:rFonts w:ascii="Calibri" w:hAnsi="Calibri" w:eastAsia="微软雅黑"/>
                <w:color w:val="5D6D7E"/>
                <w:sz w:val="20"/>
              </w:rPr>
              <w:t>5,885.00</w:t>
            </w:r>
          </w:p>
        </w:tc>
        <w:tc>
          <w:tcPr>
            <w:tcW w:w="2500" w:type="dxa"/>
          </w:tcPr>
          <w:p w14:paraId="6A726CF4">
            <w:pPr>
              <w:spacing w:before="40" w:after="40"/>
              <w:ind w:firstLine="0"/>
              <w:jc w:val="center"/>
            </w:pPr>
            <w:r>
              <w:rPr>
                <w:rFonts w:ascii="Calibri" w:hAnsi="Calibri" w:eastAsia="微软雅黑"/>
                <w:color w:val="5D6D7E"/>
                <w:sz w:val="20"/>
              </w:rPr>
              <w:t>5.86%</w:t>
            </w:r>
          </w:p>
        </w:tc>
      </w:tr>
      <w:tr w14:paraId="58253ADE">
        <w:tc>
          <w:tcPr>
            <w:tcW w:w="2500" w:type="dxa"/>
          </w:tcPr>
          <w:p w14:paraId="258CDF68">
            <w:pPr>
              <w:spacing w:before="40" w:after="40"/>
              <w:ind w:firstLine="0"/>
              <w:jc w:val="center"/>
            </w:pPr>
            <w:r>
              <w:rPr>
                <w:rFonts w:ascii="Calibri" w:hAnsi="Calibri" w:eastAsia="微软雅黑"/>
                <w:color w:val="5D6D7E"/>
                <w:sz w:val="20"/>
              </w:rPr>
              <w:t>5</w:t>
            </w:r>
          </w:p>
        </w:tc>
        <w:tc>
          <w:tcPr>
            <w:tcW w:w="2500" w:type="dxa"/>
          </w:tcPr>
          <w:p w14:paraId="7DD1DE3F">
            <w:pPr>
              <w:spacing w:before="40" w:after="40"/>
              <w:ind w:firstLine="0"/>
              <w:jc w:val="center"/>
            </w:pPr>
            <w:r>
              <w:rPr>
                <w:rFonts w:ascii="Calibri" w:hAnsi="Calibri" w:eastAsia="微软雅黑"/>
                <w:color w:val="5D6D7E"/>
                <w:sz w:val="20"/>
              </w:rPr>
              <w:t>山西省</w:t>
            </w:r>
          </w:p>
        </w:tc>
        <w:tc>
          <w:tcPr>
            <w:tcW w:w="2500" w:type="dxa"/>
          </w:tcPr>
          <w:p w14:paraId="5F913CF4">
            <w:pPr>
              <w:spacing w:before="40" w:after="40"/>
              <w:ind w:firstLine="0"/>
              <w:jc w:val="center"/>
            </w:pPr>
            <w:r>
              <w:rPr>
                <w:rFonts w:ascii="Calibri" w:hAnsi="Calibri" w:eastAsia="微软雅黑"/>
                <w:color w:val="5D6D7E"/>
                <w:sz w:val="20"/>
              </w:rPr>
              <w:t>5,154.00</w:t>
            </w:r>
          </w:p>
        </w:tc>
        <w:tc>
          <w:tcPr>
            <w:tcW w:w="2500" w:type="dxa"/>
          </w:tcPr>
          <w:p w14:paraId="4CBC397C">
            <w:pPr>
              <w:spacing w:before="40" w:after="40"/>
              <w:ind w:firstLine="0"/>
              <w:jc w:val="center"/>
            </w:pPr>
            <w:r>
              <w:rPr>
                <w:rFonts w:ascii="Calibri" w:hAnsi="Calibri" w:eastAsia="微软雅黑"/>
                <w:color w:val="5D6D7E"/>
                <w:sz w:val="20"/>
              </w:rPr>
              <w:t>5.13%</w:t>
            </w:r>
          </w:p>
        </w:tc>
      </w:tr>
      <w:tr w14:paraId="3CB28754">
        <w:tc>
          <w:tcPr>
            <w:tcW w:w="2500" w:type="dxa"/>
          </w:tcPr>
          <w:p w14:paraId="46F0D555">
            <w:pPr>
              <w:spacing w:before="40" w:after="40"/>
              <w:ind w:firstLine="0"/>
              <w:jc w:val="center"/>
            </w:pPr>
            <w:r>
              <w:rPr>
                <w:rFonts w:ascii="Calibri" w:hAnsi="Calibri" w:eastAsia="微软雅黑"/>
                <w:color w:val="5D6D7E"/>
                <w:sz w:val="20"/>
              </w:rPr>
              <w:t>6</w:t>
            </w:r>
          </w:p>
        </w:tc>
        <w:tc>
          <w:tcPr>
            <w:tcW w:w="2500" w:type="dxa"/>
          </w:tcPr>
          <w:p w14:paraId="6AA0EA6C">
            <w:pPr>
              <w:spacing w:before="40" w:after="40"/>
              <w:ind w:firstLine="0"/>
              <w:jc w:val="center"/>
            </w:pPr>
            <w:r>
              <w:rPr>
                <w:rFonts w:ascii="Calibri" w:hAnsi="Calibri" w:eastAsia="微软雅黑"/>
                <w:color w:val="5D6D7E"/>
                <w:sz w:val="20"/>
              </w:rPr>
              <w:t>广西区</w:t>
            </w:r>
          </w:p>
        </w:tc>
        <w:tc>
          <w:tcPr>
            <w:tcW w:w="2500" w:type="dxa"/>
          </w:tcPr>
          <w:p w14:paraId="14CD2C47">
            <w:pPr>
              <w:spacing w:before="40" w:after="40"/>
              <w:ind w:firstLine="0"/>
              <w:jc w:val="center"/>
            </w:pPr>
            <w:r>
              <w:rPr>
                <w:rFonts w:ascii="Calibri" w:hAnsi="Calibri" w:eastAsia="微软雅黑"/>
                <w:color w:val="5D6D7E"/>
                <w:sz w:val="20"/>
              </w:rPr>
              <w:t>3,818.00</w:t>
            </w:r>
          </w:p>
        </w:tc>
        <w:tc>
          <w:tcPr>
            <w:tcW w:w="2500" w:type="dxa"/>
          </w:tcPr>
          <w:p w14:paraId="51CAD47E">
            <w:pPr>
              <w:spacing w:before="40" w:after="40"/>
              <w:ind w:firstLine="0"/>
              <w:jc w:val="center"/>
            </w:pPr>
            <w:r>
              <w:rPr>
                <w:rFonts w:ascii="Calibri" w:hAnsi="Calibri" w:eastAsia="微软雅黑"/>
                <w:color w:val="5D6D7E"/>
                <w:sz w:val="20"/>
              </w:rPr>
              <w:t>3.80%</w:t>
            </w:r>
          </w:p>
        </w:tc>
      </w:tr>
      <w:tr w14:paraId="24B49DC5">
        <w:tc>
          <w:tcPr>
            <w:tcW w:w="2500" w:type="dxa"/>
          </w:tcPr>
          <w:p w14:paraId="1A406BB4">
            <w:pPr>
              <w:spacing w:before="40" w:after="40"/>
              <w:ind w:firstLine="0"/>
              <w:jc w:val="center"/>
            </w:pPr>
            <w:r>
              <w:rPr>
                <w:rFonts w:ascii="Calibri" w:hAnsi="Calibri" w:eastAsia="微软雅黑"/>
                <w:color w:val="5D6D7E"/>
                <w:sz w:val="20"/>
              </w:rPr>
              <w:t>7</w:t>
            </w:r>
          </w:p>
        </w:tc>
        <w:tc>
          <w:tcPr>
            <w:tcW w:w="2500" w:type="dxa"/>
          </w:tcPr>
          <w:p w14:paraId="4EF9B9DE">
            <w:pPr>
              <w:spacing w:before="40" w:after="40"/>
              <w:ind w:firstLine="0"/>
              <w:jc w:val="center"/>
            </w:pPr>
            <w:r>
              <w:rPr>
                <w:rFonts w:ascii="Calibri" w:hAnsi="Calibri" w:eastAsia="微软雅黑"/>
                <w:color w:val="5D6D7E"/>
                <w:sz w:val="20"/>
              </w:rPr>
              <w:t>广东省</w:t>
            </w:r>
          </w:p>
        </w:tc>
        <w:tc>
          <w:tcPr>
            <w:tcW w:w="2500" w:type="dxa"/>
          </w:tcPr>
          <w:p w14:paraId="7000898B">
            <w:pPr>
              <w:spacing w:before="40" w:after="40"/>
              <w:ind w:firstLine="0"/>
              <w:jc w:val="center"/>
            </w:pPr>
            <w:r>
              <w:rPr>
                <w:rFonts w:ascii="Calibri" w:hAnsi="Calibri" w:eastAsia="微软雅黑"/>
                <w:color w:val="5D6D7E"/>
                <w:sz w:val="20"/>
              </w:rPr>
              <w:t>3,424.00</w:t>
            </w:r>
          </w:p>
        </w:tc>
        <w:tc>
          <w:tcPr>
            <w:tcW w:w="2500" w:type="dxa"/>
          </w:tcPr>
          <w:p w14:paraId="31343A5B">
            <w:pPr>
              <w:spacing w:before="40" w:after="40"/>
              <w:ind w:firstLine="0"/>
              <w:jc w:val="center"/>
            </w:pPr>
            <w:r>
              <w:rPr>
                <w:rFonts w:ascii="Calibri" w:hAnsi="Calibri" w:eastAsia="微软雅黑"/>
                <w:color w:val="5D6D7E"/>
                <w:sz w:val="20"/>
              </w:rPr>
              <w:t>3.41%</w:t>
            </w:r>
          </w:p>
        </w:tc>
      </w:tr>
      <w:tr w14:paraId="1AB3EE40">
        <w:tc>
          <w:tcPr>
            <w:tcW w:w="2500" w:type="dxa"/>
          </w:tcPr>
          <w:p w14:paraId="2D620A46">
            <w:pPr>
              <w:spacing w:before="40" w:after="40"/>
              <w:ind w:firstLine="0"/>
              <w:jc w:val="center"/>
            </w:pPr>
            <w:r>
              <w:rPr>
                <w:rFonts w:ascii="Calibri" w:hAnsi="Calibri" w:eastAsia="微软雅黑"/>
                <w:color w:val="5D6D7E"/>
                <w:sz w:val="20"/>
              </w:rPr>
              <w:t>8</w:t>
            </w:r>
          </w:p>
        </w:tc>
        <w:tc>
          <w:tcPr>
            <w:tcW w:w="2500" w:type="dxa"/>
          </w:tcPr>
          <w:p w14:paraId="76826D44">
            <w:pPr>
              <w:spacing w:before="40" w:after="40"/>
              <w:ind w:firstLine="0"/>
              <w:jc w:val="center"/>
            </w:pPr>
            <w:r>
              <w:rPr>
                <w:rFonts w:ascii="Calibri" w:hAnsi="Calibri" w:eastAsia="微软雅黑"/>
                <w:color w:val="5D6D7E"/>
                <w:sz w:val="20"/>
              </w:rPr>
              <w:t>安徽省</w:t>
            </w:r>
          </w:p>
        </w:tc>
        <w:tc>
          <w:tcPr>
            <w:tcW w:w="2500" w:type="dxa"/>
          </w:tcPr>
          <w:p w14:paraId="0DC204E7">
            <w:pPr>
              <w:spacing w:before="40" w:after="40"/>
              <w:ind w:firstLine="0"/>
              <w:jc w:val="center"/>
            </w:pPr>
            <w:r>
              <w:rPr>
                <w:rFonts w:ascii="Calibri" w:hAnsi="Calibri" w:eastAsia="微软雅黑"/>
                <w:color w:val="5D6D7E"/>
                <w:sz w:val="20"/>
              </w:rPr>
              <w:t>3,134.00</w:t>
            </w:r>
          </w:p>
        </w:tc>
        <w:tc>
          <w:tcPr>
            <w:tcW w:w="2500" w:type="dxa"/>
          </w:tcPr>
          <w:p w14:paraId="4A7B448D">
            <w:pPr>
              <w:spacing w:before="40" w:after="40"/>
              <w:ind w:firstLine="0"/>
              <w:jc w:val="center"/>
            </w:pPr>
            <w:r>
              <w:rPr>
                <w:rFonts w:ascii="Calibri" w:hAnsi="Calibri" w:eastAsia="微软雅黑"/>
                <w:color w:val="5D6D7E"/>
                <w:sz w:val="20"/>
              </w:rPr>
              <w:t>3.12%</w:t>
            </w:r>
          </w:p>
        </w:tc>
      </w:tr>
      <w:tr w14:paraId="3D46C4C2">
        <w:tc>
          <w:tcPr>
            <w:tcW w:w="2500" w:type="dxa"/>
          </w:tcPr>
          <w:p w14:paraId="687F7B69">
            <w:pPr>
              <w:spacing w:before="40" w:after="40"/>
              <w:ind w:firstLine="0"/>
              <w:jc w:val="center"/>
            </w:pPr>
            <w:r>
              <w:rPr>
                <w:rFonts w:ascii="Calibri" w:hAnsi="Calibri" w:eastAsia="微软雅黑"/>
                <w:color w:val="5D6D7E"/>
                <w:sz w:val="20"/>
              </w:rPr>
              <w:t>9</w:t>
            </w:r>
          </w:p>
        </w:tc>
        <w:tc>
          <w:tcPr>
            <w:tcW w:w="2500" w:type="dxa"/>
          </w:tcPr>
          <w:p w14:paraId="343B5B73">
            <w:pPr>
              <w:spacing w:before="40" w:after="40"/>
              <w:ind w:firstLine="0"/>
              <w:jc w:val="center"/>
            </w:pPr>
            <w:r>
              <w:rPr>
                <w:rFonts w:ascii="Calibri" w:hAnsi="Calibri" w:eastAsia="微软雅黑"/>
                <w:color w:val="5D6D7E"/>
                <w:sz w:val="20"/>
              </w:rPr>
              <w:t>福建省</w:t>
            </w:r>
          </w:p>
        </w:tc>
        <w:tc>
          <w:tcPr>
            <w:tcW w:w="2500" w:type="dxa"/>
          </w:tcPr>
          <w:p w14:paraId="554DCD44">
            <w:pPr>
              <w:spacing w:before="40" w:after="40"/>
              <w:ind w:firstLine="0"/>
              <w:jc w:val="center"/>
            </w:pPr>
            <w:r>
              <w:rPr>
                <w:rFonts w:ascii="Calibri" w:hAnsi="Calibri" w:eastAsia="微软雅黑"/>
                <w:color w:val="5D6D7E"/>
                <w:sz w:val="20"/>
              </w:rPr>
              <w:t>3,050.00</w:t>
            </w:r>
          </w:p>
        </w:tc>
        <w:tc>
          <w:tcPr>
            <w:tcW w:w="2500" w:type="dxa"/>
          </w:tcPr>
          <w:p w14:paraId="6E31DABB">
            <w:pPr>
              <w:spacing w:before="40" w:after="40"/>
              <w:ind w:firstLine="0"/>
              <w:jc w:val="center"/>
            </w:pPr>
            <w:r>
              <w:rPr>
                <w:rFonts w:ascii="Calibri" w:hAnsi="Calibri" w:eastAsia="微软雅黑"/>
                <w:color w:val="5D6D7E"/>
                <w:sz w:val="20"/>
              </w:rPr>
              <w:t>3.03%</w:t>
            </w:r>
          </w:p>
        </w:tc>
      </w:tr>
      <w:tr w14:paraId="0A80BFF8">
        <w:tc>
          <w:tcPr>
            <w:tcW w:w="2500" w:type="dxa"/>
          </w:tcPr>
          <w:p w14:paraId="752C2349">
            <w:pPr>
              <w:spacing w:before="40" w:after="40"/>
              <w:ind w:firstLine="0"/>
              <w:jc w:val="center"/>
            </w:pPr>
            <w:r>
              <w:rPr>
                <w:rFonts w:ascii="Calibri" w:hAnsi="Calibri" w:eastAsia="微软雅黑"/>
                <w:color w:val="5D6D7E"/>
                <w:sz w:val="20"/>
              </w:rPr>
              <w:t>10</w:t>
            </w:r>
          </w:p>
        </w:tc>
        <w:tc>
          <w:tcPr>
            <w:tcW w:w="2500" w:type="dxa"/>
          </w:tcPr>
          <w:p w14:paraId="52F4D3AE">
            <w:pPr>
              <w:spacing w:before="40" w:after="40"/>
              <w:ind w:firstLine="0"/>
              <w:jc w:val="center"/>
            </w:pPr>
            <w:r>
              <w:rPr>
                <w:rFonts w:ascii="Calibri" w:hAnsi="Calibri" w:eastAsia="微软雅黑"/>
                <w:color w:val="5D6D7E"/>
                <w:sz w:val="20"/>
              </w:rPr>
              <w:t>湖北省</w:t>
            </w:r>
          </w:p>
        </w:tc>
        <w:tc>
          <w:tcPr>
            <w:tcW w:w="2500" w:type="dxa"/>
          </w:tcPr>
          <w:p w14:paraId="70BC127A">
            <w:pPr>
              <w:spacing w:before="40" w:after="40"/>
              <w:ind w:firstLine="0"/>
              <w:jc w:val="center"/>
            </w:pPr>
            <w:r>
              <w:rPr>
                <w:rFonts w:ascii="Calibri" w:hAnsi="Calibri" w:eastAsia="微软雅黑"/>
                <w:color w:val="5D6D7E"/>
                <w:sz w:val="20"/>
              </w:rPr>
              <w:t>2,937.00</w:t>
            </w:r>
          </w:p>
        </w:tc>
        <w:tc>
          <w:tcPr>
            <w:tcW w:w="2500" w:type="dxa"/>
          </w:tcPr>
          <w:p w14:paraId="3C09699C">
            <w:pPr>
              <w:spacing w:before="40" w:after="40"/>
              <w:ind w:firstLine="0"/>
              <w:jc w:val="center"/>
            </w:pPr>
            <w:r>
              <w:rPr>
                <w:rFonts w:ascii="Calibri" w:hAnsi="Calibri" w:eastAsia="微软雅黑"/>
                <w:color w:val="5D6D7E"/>
                <w:sz w:val="20"/>
              </w:rPr>
              <w:t>2.92%</w:t>
            </w:r>
          </w:p>
        </w:tc>
      </w:tr>
    </w:tbl>
    <w:p w14:paraId="5D2DFACC">
      <w:pPr>
        <w:pStyle w:val="5"/>
      </w:pPr>
      <w:r>
        <w:t>表1：2024年全国粗钢产量排名前10省份</w:t>
      </w:r>
    </w:p>
    <w:p w14:paraId="2EB2A8FA">
      <w:pPr>
        <w:pStyle w:val="3"/>
      </w:pPr>
      <w:r>
        <w:t>2.2 行业痛点分析</w:t>
      </w:r>
    </w:p>
    <w:p w14:paraId="601F2D86">
      <w:r>
        <w:t>通过对东北冶金产业深入调研，我们识别出以下四大核心痛点：</w:t>
      </w:r>
    </w:p>
    <w:p w14:paraId="64A34DE5">
      <w:pPr>
        <w:numPr>
          <w:ilvl w:val="0"/>
          <w:numId w:val="1"/>
        </w:numPr>
        <w:ind w:firstLine="0"/>
      </w:pPr>
      <w:r>
        <w:rPr>
          <w:b/>
        </w:rPr>
        <w:t>质量管控粗放——</w:t>
      </w:r>
      <w:r>
        <w:t>多数企业仍依赖人工抽检和事后检验，缺乏过程质量控制手段。当质量问题被发现时，往往已经产生了大量不合格品，造成巨大经济损失。据行业统计，因质量问题导致的内部损失率和外部损失率合计可达营收的3%-5%。</w:t>
      </w:r>
    </w:p>
    <w:p w14:paraId="45EB03E1">
      <w:pPr>
        <w:numPr>
          <w:ilvl w:val="0"/>
          <w:numId w:val="1"/>
        </w:numPr>
        <w:ind w:firstLine="0"/>
      </w:pPr>
      <w:r>
        <w:rPr>
          <w:b/>
        </w:rPr>
        <w:t>能耗水平偏高——</w:t>
      </w:r>
      <w:r>
        <w:t>2024年我国重点钢铁企业吨钢综合能耗为549.68千克标准煤，而国际先进水平已低于500千克标准煤。东北部分老旧设备能效更低，存在显著的优化空间。</w:t>
      </w:r>
    </w:p>
    <w:p w14:paraId="24A89671">
      <w:pPr>
        <w:numPr>
          <w:ilvl w:val="0"/>
          <w:numId w:val="1"/>
        </w:numPr>
        <w:ind w:firstLine="0"/>
      </w:pPr>
      <w:r>
        <w:rPr>
          <w:b/>
        </w:rPr>
        <w:t>设备维护被动——</w:t>
      </w:r>
      <w:r>
        <w:t>目前多数企业采用"故障后维修"模式，设备突发故障导致非计划停机，每条产线停机1小时可能造成数十万元损失。缺乏有效的设备状态监测和故障预测手段。</w:t>
      </w:r>
    </w:p>
    <w:p w14:paraId="3DF82528">
      <w:pPr>
        <w:numPr>
          <w:ilvl w:val="0"/>
          <w:numId w:val="1"/>
        </w:numPr>
        <w:ind w:firstLine="0"/>
      </w:pPr>
      <w:r>
        <w:rPr>
          <w:b/>
        </w:rPr>
        <w:t>数据孤岛严重——</w:t>
      </w:r>
      <w:r>
        <w:t>企业内不同系统间数据难以互联互通，ERP、MES、SCADA等系统各自为政，数据价值难以充分挖掘。</w:t>
      </w:r>
    </w:p>
    <w:p w14:paraId="0692F57F">
      <w:pPr>
        <w:keepNext/>
        <w:spacing w:before="200" w:after="80"/>
        <w:ind w:firstLine="0"/>
        <w:jc w:val="center"/>
      </w:pPr>
      <w:r>
        <w:drawing>
          <wp:inline distT="0" distB="0" distL="0" distR="0">
            <wp:extent cx="5399405" cy="3085465"/>
            <wp:effectExtent l="0" t="0" r="0" b="0"/>
            <wp:docPr id="2" name="痛点对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痛点对比"/>
                    <pic:cNvPicPr>
                      <a:picLocks noChangeAspect="1"/>
                    </pic:cNvPicPr>
                  </pic:nvPicPr>
                  <pic:blipFill>
                    <a:blip r:embed="rId12"/>
                    <a:stretch>
                      <a:fillRect/>
                    </a:stretch>
                  </pic:blipFill>
                  <pic:spPr>
                    <a:xfrm>
                      <a:off x="0" y="0"/>
                      <a:ext cx="5400000" cy="3085714"/>
                    </a:xfrm>
                    <a:prstGeom prst="rect">
                      <a:avLst/>
                    </a:prstGeom>
                  </pic:spPr>
                </pic:pic>
              </a:graphicData>
            </a:graphic>
          </wp:inline>
        </w:drawing>
      </w:r>
    </w:p>
    <w:p w14:paraId="79092596">
      <w:pPr>
        <w:pStyle w:val="5"/>
      </w:pPr>
      <w:r>
        <w:t>图1：传统管理模式与智能平台管理模式对比</w:t>
      </w:r>
    </w:p>
    <w:p w14:paraId="41B93C21">
      <w:pPr>
        <w:pStyle w:val="3"/>
      </w:pPr>
      <w:r>
        <w:t>2.3 政策机遇</w:t>
      </w:r>
    </w:p>
    <w:p w14:paraId="2F4007D0">
      <w:r>
        <w:t>当前，国家层面正大力推进钢铁行业数字化转型和绿色低碳发展，为本项目提供了良好的政策环境。</w:t>
      </w:r>
    </w:p>
    <w:p w14:paraId="058ACFBA">
      <w:r>
        <w:t>2024年5月，国务院印发《2024-2025年节能降碳行动方案》，明确提出到2025年底，钢铁行业能效标杆水平以上产能占比达到30%，吨钢综合能耗降低2%左右，全国80%以上钢铁产能完成超低排放改造。</w:t>
      </w:r>
    </w:p>
    <w:p w14:paraId="5C8ABA5A">
      <w:r>
        <w:t>2025年，钢铁行业正式纳入全国碳排放权交易市场，碳排放成为企业的重要成本因素。按照当前碳市场综合价格77.5元/吨计算，吨钢碳排放成本约140元/吨，这为企业的节能降碳提供了直接经济动力。</w:t>
      </w:r>
    </w:p>
    <w:p w14:paraId="34313863">
      <w:r>
        <w:t>东北振兴战略方面，2025年春节前夕习近平总书记在辽宁考察时要求，"希望辽宁在推动新时代东北全面振兴取得新突破上勇于争先"。辽宁省制定《辽宁全面振兴新突破三年行动方案》，将建设"具有国际竞争力的先进制造业新高地"作为重要目标，为钢铁产业数字化升级提供了强劲政策支撑。</w:t>
      </w:r>
    </w:p>
    <w:p w14:paraId="562D2FD8">
      <w:pPr>
        <w:pStyle w:val="2"/>
      </w:pPr>
      <w:r>
        <w:t>三、解决方案</w:t>
      </w:r>
      <w:bookmarkStart w:id="3" w:name="_Toc003"/>
      <w:bookmarkEnd w:id="3"/>
    </w:p>
    <w:p w14:paraId="497F8490">
      <w:pPr>
        <w:pStyle w:val="3"/>
      </w:pPr>
      <w:r>
        <w:t>3.1 平台概述</w:t>
      </w:r>
    </w:p>
    <w:p w14:paraId="554D04B6">
      <w:r>
        <w:t>"数智冶能"平台是一套面向东北冶金企业的工业大数据智能分析平台。平台以统计过程控制（Statistical Process Control, SPC）为核心理论基础，融合机器学习、深度学习、数字孪生等技术，构建覆盖"数据采集-边缘计算-云端分析-智能决策-可视化展示"全链条的工业智能解决方案。</w:t>
      </w:r>
    </w:p>
    <w:p w14:paraId="1AE71B8C">
      <w:r>
        <w:t>平台的核心价值主张是"用数据驱动冶金，让质量可预测、能耗可优化、设备可预知"。具体而言，平台为企业用户提供四大核心价值：一是将质量管控从"事后检验"前移至"过程预警"，实现质量问题的早发现、早干预；二是通过能耗建模和优化算法，帮助企业降低5%-15%的能源消耗；三是通过设备健康评估和故障预测，将被动维修转变为主动维护，减少非计划停机时间；四是通过数据整合与可视化，打破信息孤岛，实现生产全流程透明化。</w:t>
      </w:r>
    </w:p>
    <w:p w14:paraId="0CD8DE97">
      <w:r>
        <w:t>表2总结了平台的核心功能模块及其技术特色。</w:t>
      </w:r>
    </w:p>
    <w:tbl>
      <w:tblPr>
        <w:tblStyle w:val="11"/>
        <w:tblW w:w="5000" w:type="pct"/>
        <w:tblInd w:w="0" w:type="dxa"/>
        <w:tblBorders>
          <w:top w:val="single" w:color="2C3E50" w:sz="12" w:space="0"/>
          <w:left w:val="none" w:color="auto" w:sz="0" w:space="0"/>
          <w:bottom w:val="single" w:color="2C3E50" w:sz="12" w:space="0"/>
          <w:right w:val="none" w:color="auto" w:sz="0" w:space="0"/>
          <w:insideH w:val="single" w:color="BDC3C7" w:sz="4" w:space="0"/>
          <w:insideV w:val="none" w:color="auto" w:sz="0" w:space="0"/>
        </w:tblBorders>
        <w:tblLayout w:type="autofit"/>
        <w:tblCellMar>
          <w:top w:w="0" w:type="dxa"/>
          <w:left w:w="10" w:type="dxa"/>
          <w:bottom w:w="0" w:type="dxa"/>
          <w:right w:w="10" w:type="dxa"/>
        </w:tblCellMar>
      </w:tblPr>
      <w:tblGrid>
        <w:gridCol w:w="1802"/>
        <w:gridCol w:w="2714"/>
        <w:gridCol w:w="4530"/>
      </w:tblGrid>
      <w:tr w14:paraId="6093B205">
        <w:trPr>
          <w:tblHeader/>
        </w:trPr>
        <w:tc>
          <w:tcPr>
            <w:tcW w:w="2000" w:type="dxa"/>
            <w:shd w:val="clear" w:color="auto" w:fill="EBF5FB"/>
          </w:tcPr>
          <w:p w14:paraId="508EEBC2">
            <w:pPr>
              <w:spacing w:before="40" w:after="40"/>
              <w:ind w:firstLine="0"/>
              <w:jc w:val="center"/>
            </w:pPr>
            <w:r>
              <w:rPr>
                <w:rFonts w:ascii="Calibri" w:hAnsi="Calibri" w:eastAsia="微软雅黑"/>
                <w:b/>
                <w:color w:val="1A252F"/>
                <w:sz w:val="20"/>
              </w:rPr>
              <w:t>功能模块</w:t>
            </w:r>
          </w:p>
        </w:tc>
        <w:tc>
          <w:tcPr>
            <w:tcW w:w="3000" w:type="dxa"/>
            <w:shd w:val="clear" w:color="auto" w:fill="EBF5FB"/>
          </w:tcPr>
          <w:p w14:paraId="2CAA31CC">
            <w:pPr>
              <w:spacing w:before="40" w:after="40"/>
              <w:ind w:firstLine="0"/>
              <w:jc w:val="center"/>
            </w:pPr>
            <w:r>
              <w:rPr>
                <w:rFonts w:ascii="Calibri" w:hAnsi="Calibri" w:eastAsia="微软雅黑"/>
                <w:b/>
                <w:color w:val="1A252F"/>
                <w:sz w:val="20"/>
              </w:rPr>
              <w:t>技术方法</w:t>
            </w:r>
          </w:p>
        </w:tc>
        <w:tc>
          <w:tcPr>
            <w:tcW w:w="5000" w:type="dxa"/>
            <w:shd w:val="clear" w:color="auto" w:fill="EBF5FB"/>
          </w:tcPr>
          <w:p w14:paraId="3DA8A72C">
            <w:pPr>
              <w:spacing w:before="40" w:after="40"/>
              <w:ind w:firstLine="0"/>
              <w:jc w:val="center"/>
            </w:pPr>
            <w:r>
              <w:rPr>
                <w:rFonts w:ascii="Calibri" w:hAnsi="Calibri" w:eastAsia="微软雅黑"/>
                <w:b/>
                <w:color w:val="1A252F"/>
                <w:sz w:val="20"/>
              </w:rPr>
              <w:t>核心价值</w:t>
            </w:r>
          </w:p>
        </w:tc>
      </w:tr>
      <w:tr w14:paraId="7FEB8FEA">
        <w:tc>
          <w:tcPr>
            <w:tcW w:w="2000" w:type="dxa"/>
          </w:tcPr>
          <w:p w14:paraId="3FC13280">
            <w:pPr>
              <w:spacing w:before="40" w:after="40"/>
              <w:ind w:firstLine="0"/>
              <w:jc w:val="center"/>
            </w:pPr>
            <w:r>
              <w:rPr>
                <w:rFonts w:ascii="Calibri" w:hAnsi="Calibri" w:eastAsia="微软雅黑"/>
                <w:color w:val="5D6D7E"/>
                <w:sz w:val="20"/>
              </w:rPr>
              <w:t>质量智能预警</w:t>
            </w:r>
          </w:p>
        </w:tc>
        <w:tc>
          <w:tcPr>
            <w:tcW w:w="3000" w:type="dxa"/>
          </w:tcPr>
          <w:p w14:paraId="76E9F5D5">
            <w:pPr>
              <w:spacing w:before="40" w:after="40"/>
              <w:ind w:firstLine="0"/>
              <w:jc w:val="center"/>
            </w:pPr>
            <w:r>
              <w:rPr>
                <w:rFonts w:ascii="Calibri" w:hAnsi="Calibri" w:eastAsia="微软雅黑"/>
                <w:color w:val="5D6D7E"/>
                <w:sz w:val="20"/>
              </w:rPr>
              <w:t>SPC控制图、多元统计过程控制、异常检测算法</w:t>
            </w:r>
          </w:p>
        </w:tc>
        <w:tc>
          <w:tcPr>
            <w:tcW w:w="5000" w:type="dxa"/>
          </w:tcPr>
          <w:p w14:paraId="41A28994">
            <w:pPr>
              <w:spacing w:before="40" w:after="40"/>
              <w:ind w:firstLine="0"/>
              <w:jc w:val="center"/>
            </w:pPr>
            <w:r>
              <w:rPr>
                <w:rFonts w:ascii="Calibri" w:hAnsi="Calibri" w:eastAsia="微软雅黑"/>
                <w:color w:val="5D6D7E"/>
                <w:sz w:val="20"/>
              </w:rPr>
              <w:t>实时质量监控，异常检出率&gt;95%</w:t>
            </w:r>
          </w:p>
        </w:tc>
      </w:tr>
      <w:tr w14:paraId="660566D9">
        <w:tc>
          <w:tcPr>
            <w:tcW w:w="2000" w:type="dxa"/>
          </w:tcPr>
          <w:p w14:paraId="44DC67B5">
            <w:pPr>
              <w:spacing w:before="40" w:after="40"/>
              <w:ind w:firstLine="0"/>
              <w:jc w:val="center"/>
            </w:pPr>
            <w:r>
              <w:rPr>
                <w:rFonts w:ascii="Calibri" w:hAnsi="Calibri" w:eastAsia="微软雅黑"/>
                <w:color w:val="5D6D7E"/>
                <w:sz w:val="20"/>
              </w:rPr>
              <w:t>能效优化管理</w:t>
            </w:r>
          </w:p>
        </w:tc>
        <w:tc>
          <w:tcPr>
            <w:tcW w:w="3000" w:type="dxa"/>
          </w:tcPr>
          <w:p w14:paraId="558B7A5B">
            <w:pPr>
              <w:spacing w:before="40" w:after="40"/>
              <w:ind w:firstLine="0"/>
              <w:jc w:val="center"/>
            </w:pPr>
            <w:r>
              <w:rPr>
                <w:rFonts w:ascii="Calibri" w:hAnsi="Calibri" w:eastAsia="微软雅黑"/>
                <w:color w:val="5D6D7E"/>
                <w:sz w:val="20"/>
              </w:rPr>
              <w:t>时间序列预测、回归分析、多目标优化</w:t>
            </w:r>
          </w:p>
        </w:tc>
        <w:tc>
          <w:tcPr>
            <w:tcW w:w="5000" w:type="dxa"/>
          </w:tcPr>
          <w:p w14:paraId="627E7681">
            <w:pPr>
              <w:spacing w:before="40" w:after="40"/>
              <w:ind w:firstLine="0"/>
              <w:jc w:val="center"/>
            </w:pPr>
            <w:r>
              <w:rPr>
                <w:rFonts w:ascii="Calibri" w:hAnsi="Calibri" w:eastAsia="微软雅黑"/>
                <w:color w:val="5D6D7E"/>
                <w:sz w:val="20"/>
              </w:rPr>
              <w:t>能耗降低5%-15%</w:t>
            </w:r>
          </w:p>
        </w:tc>
      </w:tr>
      <w:tr w14:paraId="39DCD926">
        <w:tc>
          <w:tcPr>
            <w:tcW w:w="2000" w:type="dxa"/>
          </w:tcPr>
          <w:p w14:paraId="6389E988">
            <w:pPr>
              <w:spacing w:before="40" w:after="40"/>
              <w:ind w:firstLine="0"/>
              <w:jc w:val="center"/>
            </w:pPr>
            <w:r>
              <w:rPr>
                <w:rFonts w:ascii="Calibri" w:hAnsi="Calibri" w:eastAsia="微软雅黑"/>
                <w:color w:val="5D6D7E"/>
                <w:sz w:val="20"/>
              </w:rPr>
              <w:t>设备健康管理</w:t>
            </w:r>
          </w:p>
        </w:tc>
        <w:tc>
          <w:tcPr>
            <w:tcW w:w="3000" w:type="dxa"/>
          </w:tcPr>
          <w:p w14:paraId="3C209C6D">
            <w:pPr>
              <w:spacing w:before="40" w:after="40"/>
              <w:ind w:firstLine="0"/>
              <w:jc w:val="center"/>
            </w:pPr>
            <w:r>
              <w:rPr>
                <w:rFonts w:ascii="Calibri" w:hAnsi="Calibri" w:eastAsia="微软雅黑"/>
                <w:color w:val="5D6D7E"/>
                <w:sz w:val="20"/>
              </w:rPr>
              <w:t>振动分析、温度趋势预测、剩余使用寿命估计</w:t>
            </w:r>
          </w:p>
        </w:tc>
        <w:tc>
          <w:tcPr>
            <w:tcW w:w="5000" w:type="dxa"/>
          </w:tcPr>
          <w:p w14:paraId="4B52C29E">
            <w:pPr>
              <w:spacing w:before="40" w:after="40"/>
              <w:ind w:firstLine="0"/>
              <w:jc w:val="center"/>
            </w:pPr>
            <w:r>
              <w:rPr>
                <w:rFonts w:ascii="Calibri" w:hAnsi="Calibri" w:eastAsia="微软雅黑"/>
                <w:color w:val="5D6D7E"/>
                <w:sz w:val="20"/>
              </w:rPr>
              <w:t>非计划停机减少40%+</w:t>
            </w:r>
          </w:p>
        </w:tc>
      </w:tr>
      <w:tr w14:paraId="620223FB">
        <w:tc>
          <w:tcPr>
            <w:tcW w:w="2000" w:type="dxa"/>
          </w:tcPr>
          <w:p w14:paraId="351DE6C9">
            <w:pPr>
              <w:spacing w:before="40" w:after="40"/>
              <w:ind w:firstLine="0"/>
              <w:jc w:val="center"/>
            </w:pPr>
            <w:r>
              <w:rPr>
                <w:rFonts w:ascii="Calibri" w:hAnsi="Calibri" w:eastAsia="微软雅黑"/>
                <w:color w:val="5D6D7E"/>
                <w:sz w:val="20"/>
              </w:rPr>
              <w:t>数字孪生可视化</w:t>
            </w:r>
          </w:p>
        </w:tc>
        <w:tc>
          <w:tcPr>
            <w:tcW w:w="3000" w:type="dxa"/>
          </w:tcPr>
          <w:p w14:paraId="7A40526F">
            <w:pPr>
              <w:spacing w:before="40" w:after="40"/>
              <w:ind w:firstLine="0"/>
              <w:jc w:val="center"/>
            </w:pPr>
            <w:r>
              <w:rPr>
                <w:rFonts w:ascii="Calibri" w:hAnsi="Calibri" w:eastAsia="微软雅黑"/>
                <w:color w:val="5D6D7E"/>
                <w:sz w:val="20"/>
              </w:rPr>
              <w:t>3D建模、实时数据驱动、虚拟仿真</w:t>
            </w:r>
          </w:p>
        </w:tc>
        <w:tc>
          <w:tcPr>
            <w:tcW w:w="5000" w:type="dxa"/>
          </w:tcPr>
          <w:p w14:paraId="4FE39B89">
            <w:pPr>
              <w:spacing w:before="40" w:after="40"/>
              <w:ind w:firstLine="0"/>
              <w:jc w:val="center"/>
            </w:pPr>
            <w:r>
              <w:rPr>
                <w:rFonts w:ascii="Calibri" w:hAnsi="Calibri" w:eastAsia="微软雅黑"/>
                <w:color w:val="5D6D7E"/>
                <w:sz w:val="20"/>
              </w:rPr>
              <w:t>生产全流程透明化</w:t>
            </w:r>
          </w:p>
        </w:tc>
      </w:tr>
      <w:tr w14:paraId="5713E5D6">
        <w:tc>
          <w:tcPr>
            <w:tcW w:w="2000" w:type="dxa"/>
          </w:tcPr>
          <w:p w14:paraId="47ABC1A7">
            <w:pPr>
              <w:spacing w:before="40" w:after="40"/>
              <w:ind w:firstLine="0"/>
              <w:jc w:val="center"/>
            </w:pPr>
            <w:r>
              <w:rPr>
                <w:rFonts w:ascii="Calibri" w:hAnsi="Calibri" w:eastAsia="微软雅黑"/>
                <w:color w:val="5D6D7E"/>
                <w:sz w:val="20"/>
              </w:rPr>
              <w:t>碳排放管理</w:t>
            </w:r>
          </w:p>
        </w:tc>
        <w:tc>
          <w:tcPr>
            <w:tcW w:w="3000" w:type="dxa"/>
          </w:tcPr>
          <w:p w14:paraId="6B5406FE">
            <w:pPr>
              <w:spacing w:before="40" w:after="40"/>
              <w:ind w:firstLine="0"/>
              <w:jc w:val="center"/>
            </w:pPr>
            <w:r>
              <w:rPr>
                <w:rFonts w:ascii="Calibri" w:hAnsi="Calibri" w:eastAsia="微软雅黑"/>
                <w:color w:val="5D6D7E"/>
                <w:sz w:val="20"/>
              </w:rPr>
              <w:t>碳足迹追踪、排放因子计算、碳排预测</w:t>
            </w:r>
          </w:p>
        </w:tc>
        <w:tc>
          <w:tcPr>
            <w:tcW w:w="5000" w:type="dxa"/>
          </w:tcPr>
          <w:p w14:paraId="48F7560E">
            <w:pPr>
              <w:spacing w:before="40" w:after="40"/>
              <w:ind w:firstLine="0"/>
              <w:jc w:val="center"/>
            </w:pPr>
            <w:r>
              <w:rPr>
                <w:rFonts w:ascii="Calibri" w:hAnsi="Calibri" w:eastAsia="微软雅黑"/>
                <w:color w:val="5D6D7E"/>
                <w:sz w:val="20"/>
              </w:rPr>
              <w:t>支撑碳交易决策</w:t>
            </w:r>
          </w:p>
        </w:tc>
      </w:tr>
    </w:tbl>
    <w:p w14:paraId="65DB82C2">
      <w:pPr>
        <w:pStyle w:val="5"/>
      </w:pPr>
      <w:r>
        <w:t>表2：平台核心功能模块</w:t>
      </w:r>
    </w:p>
    <w:p w14:paraId="57CCC009">
      <w:pPr>
        <w:pStyle w:val="3"/>
      </w:pPr>
      <w:r>
        <w:t>3.2 技术架构</w:t>
      </w:r>
    </w:p>
    <w:p w14:paraId="4464ED0D">
      <w:r>
        <w:t>平台采用分层架构设计，自下而上分为设备感知层、边缘计算层、数据平台层、智能算法层和应用服务层，各层之间通过标准化接口进行数据交互。</w:t>
      </w:r>
    </w:p>
    <w:p w14:paraId="1FA022D9">
      <w:pPr>
        <w:keepNext/>
        <w:spacing w:before="200" w:after="80"/>
        <w:ind w:firstLine="0"/>
        <w:jc w:val="center"/>
      </w:pPr>
      <w:r>
        <w:drawing>
          <wp:inline distT="0" distB="0" distL="0" distR="0">
            <wp:extent cx="5399405" cy="3085465"/>
            <wp:effectExtent l="0" t="0" r="0" b="0"/>
            <wp:docPr id="3" name="技术架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技术架构"/>
                    <pic:cNvPicPr>
                      <a:picLocks noChangeAspect="1"/>
                    </pic:cNvPicPr>
                  </pic:nvPicPr>
                  <pic:blipFill>
                    <a:blip r:embed="rId13"/>
                    <a:stretch>
                      <a:fillRect/>
                    </a:stretch>
                  </pic:blipFill>
                  <pic:spPr>
                    <a:xfrm>
                      <a:off x="0" y="0"/>
                      <a:ext cx="5400000" cy="3085714"/>
                    </a:xfrm>
                    <a:prstGeom prst="rect">
                      <a:avLst/>
                    </a:prstGeom>
                  </pic:spPr>
                </pic:pic>
              </a:graphicData>
            </a:graphic>
          </wp:inline>
        </w:drawing>
      </w:r>
    </w:p>
    <w:p w14:paraId="662668CC">
      <w:pPr>
        <w:pStyle w:val="5"/>
      </w:pPr>
      <w:r>
        <w:t>图2：平台五层技术架构</w:t>
      </w:r>
    </w:p>
    <w:p w14:paraId="0B272052">
      <w:r>
        <w:t>设备感知层负责从生产设备中采集原始数据。平台支持对接DCS/PLC/SCADA等工控系统，并通过部署温度传感器、振动传感器、压力传感器、气体分析仪等IoT设备，实现炼铁、炼钢、轧钢等全流程的数据采集。采样频率可根据工艺需求灵活配置，关键工艺参数可达毫秒级采集。</w:t>
      </w:r>
    </w:p>
    <w:p w14:paraId="6331C876">
      <w:r>
        <w:t>边缘计算层部署在工厂本地，承担数据预处理、实时计算和本地存储等功能。通过在边缘节点部署轻量级AI模型，平台可在毫秒级延迟内完成异常检测和预警触发，满足生产实时性要求。同时，边缘层支持断网续传，确保数据不丢失。</w:t>
      </w:r>
    </w:p>
    <w:p w14:paraId="78C24209">
      <w:r>
        <w:t>数据平台层提供数据存储、治理和管理能力。平台采用时序数据库（如InfluxDB/TDengine）存储海量传感器数据，关系型数据库（PostgreSQL）存储结构化业务数据，对象存储（MinIO）存储文件和模型。通过数据治理工具实现数据清洗、标准化和质量管理。</w:t>
      </w:r>
    </w:p>
    <w:p w14:paraId="219C3930">
      <w:r>
        <w:t>智能算法层是平台的技术核心，集成了统计过程控制、机器学习、深度学习等多种算法模型。该层以"算法库+模型管理"的方式组织，支持模型的训练、验证、部署和迭代更新。算法层的详细技术方案将在第四章介绍。</w:t>
      </w:r>
    </w:p>
    <w:p w14:paraId="31828531">
      <w:r>
        <w:t>应用服务层面向终端用户提供业务功能和交互界面。包括Web端大屏看板、PC端管理后台、移动端轻应用等多种形态，满足不同角色的使用场景。</w:t>
      </w:r>
    </w:p>
    <w:p w14:paraId="34267FBC">
      <w:pPr>
        <w:pStyle w:val="3"/>
      </w:pPr>
      <w:r>
        <w:t>3.3 核心功能模块</w:t>
      </w:r>
    </w:p>
    <w:p w14:paraId="67A79041">
      <w:pPr>
        <w:pStyle w:val="4"/>
      </w:pPr>
      <w:r>
        <w:t>3.3.1 质量智能预警模块</w:t>
      </w:r>
    </w:p>
    <w:p w14:paraId="6A6CEF7A">
      <w:r>
        <w:t>质量智能预警模块基于统计过程控制理论，对生产过程中的关键质量指标进行实时监控和异常检测。模块支持多种SPC控制图，包括X-bar图、R图、X-Rs图、CUSUM图、EWMA图等，适用于不同类型的质量数据特征。</w:t>
      </w:r>
    </w:p>
    <w:p w14:paraId="17443512">
      <w:r>
        <w:t>当检测到过程异常时，系统会自动触发分级预警机制：黄色预警表示过程偏移趋势，提醒操作人员关注；橙色预警表示过程超出控制限，建议采取调整措施；红色预警表示严重异常，需要立即停机排查。同时，系统会自动记录异常事件，生成质量异常报告，辅助质量工程师进行根因分析。</w:t>
      </w:r>
    </w:p>
    <w:p w14:paraId="48DFFAA5">
      <w:pPr>
        <w:keepNext/>
        <w:spacing w:before="200" w:after="80"/>
        <w:ind w:firstLine="0"/>
        <w:jc w:val="center"/>
      </w:pPr>
      <w:r>
        <w:drawing>
          <wp:inline distT="0" distB="0" distL="0" distR="0">
            <wp:extent cx="5399405" cy="3085465"/>
            <wp:effectExtent l="0" t="0" r="0" b="0"/>
            <wp:docPr id="4" name="SPC控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C控制图"/>
                    <pic:cNvPicPr>
                      <a:picLocks noChangeAspect="1"/>
                    </pic:cNvPicPr>
                  </pic:nvPicPr>
                  <pic:blipFill>
                    <a:blip r:embed="rId14"/>
                    <a:stretch>
                      <a:fillRect/>
                    </a:stretch>
                  </pic:blipFill>
                  <pic:spPr>
                    <a:xfrm>
                      <a:off x="0" y="0"/>
                      <a:ext cx="5400000" cy="3085714"/>
                    </a:xfrm>
                    <a:prstGeom prst="rect">
                      <a:avLst/>
                    </a:prstGeom>
                  </pic:spPr>
                </pic:pic>
              </a:graphicData>
            </a:graphic>
          </wp:inline>
        </w:drawing>
      </w:r>
    </w:p>
    <w:p w14:paraId="36C4BCC2">
      <w:pPr>
        <w:pStyle w:val="5"/>
      </w:pPr>
      <w:r>
        <w:t>图3：统计过程控制（SPC）控制图界面</w:t>
      </w:r>
    </w:p>
    <w:p w14:paraId="7CB162CC">
      <w:pPr>
        <w:pStyle w:val="4"/>
      </w:pPr>
      <w:r>
        <w:t>3.3.2 能效优化管理模块</w:t>
      </w:r>
    </w:p>
    <w:p w14:paraId="3BCB8D50">
      <w:r>
        <w:t>能效优化管理模块通过对生产能耗数据的全流程采集和分析，帮助企业识别能耗瓶颈、优化能源配置。模块的核心功能包括能耗实时监控、能耗趋势预测、能耗对标分析和优化方案推荐。</w:t>
      </w:r>
    </w:p>
    <w:p w14:paraId="413E3932">
      <w:r>
        <w:t>能耗实时监控功能以热力图形式直观展示工厂各区域、各工序的能耗分布，帮助管理者快速定位高能耗环节。能耗趋势预测功能基于时间序列模型，预测未来24小时至7天的能耗走势，为能源采购和生产排产提供决策依据。</w:t>
      </w:r>
    </w:p>
    <w:p w14:paraId="710C2E37">
      <w:r>
        <w:t>能耗对标分析功能将企业能耗指标与行业标杆水平进行横向对比，识别差距和改进方向。优化方案推荐功能则基于多目标优化算法，综合考虑产品质量、生产效率和能源成本，给出最优的工艺参数建议。</w:t>
      </w:r>
    </w:p>
    <w:p w14:paraId="67F62E83">
      <w:pPr>
        <w:keepNext/>
        <w:spacing w:before="200" w:after="80"/>
        <w:ind w:firstLine="0"/>
        <w:jc w:val="center"/>
      </w:pPr>
      <w:r>
        <w:drawing>
          <wp:inline distT="0" distB="0" distL="0" distR="0">
            <wp:extent cx="5399405" cy="3085465"/>
            <wp:effectExtent l="0" t="0" r="0" b="0"/>
            <wp:docPr id="5" name="能耗热力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能耗热力图"/>
                    <pic:cNvPicPr>
                      <a:picLocks noChangeAspect="1"/>
                    </pic:cNvPicPr>
                  </pic:nvPicPr>
                  <pic:blipFill>
                    <a:blip r:embed="rId15"/>
                    <a:stretch>
                      <a:fillRect/>
                    </a:stretch>
                  </pic:blipFill>
                  <pic:spPr>
                    <a:xfrm>
                      <a:off x="0" y="0"/>
                      <a:ext cx="5400000" cy="3085714"/>
                    </a:xfrm>
                    <a:prstGeom prst="rect">
                      <a:avLst/>
                    </a:prstGeom>
                  </pic:spPr>
                </pic:pic>
              </a:graphicData>
            </a:graphic>
          </wp:inline>
        </w:drawing>
      </w:r>
    </w:p>
    <w:p w14:paraId="2A2C459F">
      <w:pPr>
        <w:pStyle w:val="5"/>
      </w:pPr>
      <w:r>
        <w:t>图4：工厂能耗热力图监控界面</w:t>
      </w:r>
    </w:p>
    <w:p w14:paraId="3F0014D3">
      <w:pPr>
        <w:pStyle w:val="4"/>
      </w:pPr>
      <w:r>
        <w:t>3.3.3 设备健康管理模块</w:t>
      </w:r>
    </w:p>
    <w:p w14:paraId="35D21255">
      <w:r>
        <w:t>设备健康管理模块（PHM, Prognostics and Health Management）通过对设备运行状态的持续监测和分析，实现从"被动维修"到"主动维护"的转变。模块采集设备的振动、温度、电流、声音等多维传感数据，构建设备健康评估模型。</w:t>
      </w:r>
    </w:p>
    <w:p w14:paraId="0C477CB7">
      <w:r>
        <w:t>设备健康评分采用百分制，综合考量设备各项运行指标的状态。当健康评分低于预设阈值时，系统自动生成维护工单，推送至设备管理人员。同时，模块基于退化趋势预测设备的剩余使用寿命（RUL），帮助企业科学制定维护计划，在保证设备可靠性的同时最大化利用设备寿命。</w:t>
      </w:r>
    </w:p>
    <w:p w14:paraId="721A3087">
      <w:pPr>
        <w:keepNext/>
        <w:spacing w:before="200" w:after="80"/>
        <w:ind w:firstLine="0"/>
        <w:jc w:val="center"/>
      </w:pPr>
      <w:r>
        <w:drawing>
          <wp:inline distT="0" distB="0" distL="0" distR="0">
            <wp:extent cx="5399405" cy="3085465"/>
            <wp:effectExtent l="0" t="0" r="0" b="0"/>
            <wp:docPr id="6" name="预测性维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预测性维护"/>
                    <pic:cNvPicPr>
                      <a:picLocks noChangeAspect="1"/>
                    </pic:cNvPicPr>
                  </pic:nvPicPr>
                  <pic:blipFill>
                    <a:blip r:embed="rId16"/>
                    <a:stretch>
                      <a:fillRect/>
                    </a:stretch>
                  </pic:blipFill>
                  <pic:spPr>
                    <a:xfrm>
                      <a:off x="0" y="0"/>
                      <a:ext cx="5400000" cy="3085714"/>
                    </a:xfrm>
                    <a:prstGeom prst="rect">
                      <a:avLst/>
                    </a:prstGeom>
                  </pic:spPr>
                </pic:pic>
              </a:graphicData>
            </a:graphic>
          </wp:inline>
        </w:drawing>
      </w:r>
    </w:p>
    <w:p w14:paraId="5DA1E6B6">
      <w:pPr>
        <w:pStyle w:val="5"/>
      </w:pPr>
      <w:r>
        <w:t>图5：设备预测性维护预警界面</w:t>
      </w:r>
    </w:p>
    <w:p w14:paraId="1382A727">
      <w:pPr>
        <w:pStyle w:val="4"/>
      </w:pPr>
      <w:r>
        <w:t>3.3.4 数字孪生可视化模块</w:t>
      </w:r>
    </w:p>
    <w:p w14:paraId="12D71293">
      <w:r>
        <w:t>数字孪生可视化模块基于3D建模和实时数据驱动技术，构建生产设备和工艺流程的虚拟镜像。用户可在虚拟空间中漫游工厂，查看设备实时运行状态、工艺参数和历史数据。</w:t>
      </w:r>
    </w:p>
    <w:p w14:paraId="55881609">
      <w:r>
        <w:t>模块支持多种交互方式，包括点击设备查看详情、拖拽时间轴回放历史、切换不同数据图层（温度场、压力场、能耗场）等。数字孪生不仅为管理人员提供直观的全局视角，也为操作人员提供沉浸式的培训和演练环境。</w:t>
      </w:r>
    </w:p>
    <w:p w14:paraId="075B4BF2">
      <w:pPr>
        <w:keepNext/>
        <w:spacing w:before="200" w:after="80"/>
        <w:ind w:firstLine="0"/>
        <w:jc w:val="center"/>
      </w:pPr>
      <w:r>
        <w:drawing>
          <wp:inline distT="0" distB="0" distL="0" distR="0">
            <wp:extent cx="5399405" cy="3085465"/>
            <wp:effectExtent l="0" t="0" r="0" b="0"/>
            <wp:docPr id="7" name="数字孪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数字孪生"/>
                    <pic:cNvPicPr>
                      <a:picLocks noChangeAspect="1"/>
                    </pic:cNvPicPr>
                  </pic:nvPicPr>
                  <pic:blipFill>
                    <a:blip r:embed="rId17"/>
                    <a:stretch>
                      <a:fillRect/>
                    </a:stretch>
                  </pic:blipFill>
                  <pic:spPr>
                    <a:xfrm>
                      <a:off x="0" y="0"/>
                      <a:ext cx="5400000" cy="3085714"/>
                    </a:xfrm>
                    <a:prstGeom prst="rect">
                      <a:avLst/>
                    </a:prstGeom>
                  </pic:spPr>
                </pic:pic>
              </a:graphicData>
            </a:graphic>
          </wp:inline>
        </w:drawing>
      </w:r>
    </w:p>
    <w:p w14:paraId="536F8E83">
      <w:pPr>
        <w:pStyle w:val="5"/>
      </w:pPr>
      <w:r>
        <w:t>图6：高炉数字孪生三维可视化</w:t>
      </w:r>
    </w:p>
    <w:p w14:paraId="4BEAD9B9">
      <w:pPr>
        <w:keepNext/>
        <w:spacing w:before="200" w:after="80"/>
        <w:ind w:firstLine="0"/>
        <w:jc w:val="center"/>
      </w:pPr>
      <w:r>
        <w:drawing>
          <wp:inline distT="0" distB="0" distL="0" distR="0">
            <wp:extent cx="5399405" cy="3085465"/>
            <wp:effectExtent l="0" t="0" r="0" b="0"/>
            <wp:docPr id="8" name="平台大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平台大屏"/>
                    <pic:cNvPicPr>
                      <a:picLocks noChangeAspect="1"/>
                    </pic:cNvPicPr>
                  </pic:nvPicPr>
                  <pic:blipFill>
                    <a:blip r:embed="rId18"/>
                    <a:stretch>
                      <a:fillRect/>
                    </a:stretch>
                  </pic:blipFill>
                  <pic:spPr>
                    <a:xfrm>
                      <a:off x="0" y="0"/>
                      <a:ext cx="5400000" cy="3085714"/>
                    </a:xfrm>
                    <a:prstGeom prst="rect">
                      <a:avLst/>
                    </a:prstGeom>
                  </pic:spPr>
                </pic:pic>
              </a:graphicData>
            </a:graphic>
          </wp:inline>
        </w:drawing>
      </w:r>
    </w:p>
    <w:p w14:paraId="66F2FF5E">
      <w:pPr>
        <w:pStyle w:val="5"/>
      </w:pPr>
      <w:r>
        <w:t>图7：平台综合数据大屏</w:t>
      </w:r>
    </w:p>
    <w:p w14:paraId="2DD91A39">
      <w:pPr>
        <w:pStyle w:val="2"/>
      </w:pPr>
      <w:r>
        <w:t>四、技术创新</w:t>
      </w:r>
      <w:bookmarkStart w:id="4" w:name="_Toc004"/>
      <w:bookmarkEnd w:id="4"/>
    </w:p>
    <w:p w14:paraId="21AA95B8">
      <w:pPr>
        <w:pStyle w:val="3"/>
      </w:pPr>
      <w:r>
        <w:t>4.1 统计过程控制技术</w:t>
      </w:r>
    </w:p>
    <w:p w14:paraId="4655923F">
      <w:r>
        <w:t>统计过程控制（SPC）是本平台的核心理论基础。与传统SPC工具不同，我们针对冶金行业数据的特点，开发了一系列增强型SPC算法。</w:t>
      </w:r>
    </w:p>
    <w:p w14:paraId="25DE70F2">
      <w:r>
        <w:t>首先，针对冶金过程中普遍存在的变量间相关性，我们采用多元统计过程控制（MSPC）方法，基于主成分分析（PCA）和偏最小二乘法（PLS）构建综合质量指标T2和SPE统计量，实现多维质量参数的联合监控。相比单变量SPC，MSPC能够检测出单变量方法无法发现的隐藏在变量关系中的异常模式。</w:t>
      </w:r>
    </w:p>
    <w:p w14:paraId="570B125D">
      <w:r>
        <w:t>其次，针对冶金数据的自相关特性（同一变量相邻时间点的数值之间存在相关性），我们开发了基于时间序列模型的残差控制图方法。该方法先对原始数据建立ARIMA模型，去除自相关成分后，再对残差应用传统SPC判异规则，有效降低了自相关导致的虚警率。</w:t>
      </w:r>
    </w:p>
    <w:p w14:paraId="3952E1BB">
      <w:r>
        <w:t>再次，针对冶金过程的动态特性，我们引入自适应控制限技术。通过滑动窗口在线更新控制限参数，使控制图能够适应过程的缓慢漂移，在保持对突发异常敏感性的同时，减少因正常工况变化导致的误报。</w:t>
      </w:r>
    </w:p>
    <w:p w14:paraId="0D1D628A">
      <w:r>
        <w:t>表3对比了传统SPC方法与我们的增强型SPC技术的性能差异。</w:t>
      </w:r>
    </w:p>
    <w:tbl>
      <w:tblPr>
        <w:tblStyle w:val="11"/>
        <w:tblW w:w="5000" w:type="pct"/>
        <w:tblInd w:w="0" w:type="dxa"/>
        <w:tblBorders>
          <w:top w:val="single" w:color="2C3E50" w:sz="12" w:space="0"/>
          <w:left w:val="none" w:color="auto" w:sz="0" w:space="0"/>
          <w:bottom w:val="single" w:color="2C3E50" w:sz="12" w:space="0"/>
          <w:right w:val="none" w:color="auto" w:sz="0" w:space="0"/>
          <w:insideH w:val="single" w:color="BDC3C7" w:sz="4" w:space="0"/>
          <w:insideV w:val="none" w:color="auto" w:sz="0" w:space="0"/>
        </w:tblBorders>
        <w:tblLayout w:type="autofit"/>
        <w:tblCellMar>
          <w:top w:w="0" w:type="dxa"/>
          <w:left w:w="10" w:type="dxa"/>
          <w:bottom w:w="0" w:type="dxa"/>
          <w:right w:w="10" w:type="dxa"/>
        </w:tblCellMar>
      </w:tblPr>
      <w:tblGrid>
        <w:gridCol w:w="2211"/>
        <w:gridCol w:w="2238"/>
        <w:gridCol w:w="2343"/>
        <w:gridCol w:w="2254"/>
      </w:tblGrid>
      <w:tr w14:paraId="2652EFA8">
        <w:trPr>
          <w:tblHeader/>
        </w:trPr>
        <w:tc>
          <w:tcPr>
            <w:tcW w:w="2500" w:type="dxa"/>
            <w:shd w:val="clear" w:color="auto" w:fill="EBF5FB"/>
          </w:tcPr>
          <w:p w14:paraId="3537E733">
            <w:pPr>
              <w:spacing w:before="40" w:after="40"/>
              <w:ind w:firstLine="0"/>
              <w:jc w:val="center"/>
            </w:pPr>
            <w:r>
              <w:rPr>
                <w:rFonts w:ascii="Calibri" w:hAnsi="Calibri" w:eastAsia="微软雅黑"/>
                <w:b/>
                <w:color w:val="1A252F"/>
                <w:sz w:val="20"/>
              </w:rPr>
              <w:t>技术特性</w:t>
            </w:r>
          </w:p>
        </w:tc>
        <w:tc>
          <w:tcPr>
            <w:tcW w:w="2500" w:type="dxa"/>
            <w:shd w:val="clear" w:color="auto" w:fill="EBF5FB"/>
          </w:tcPr>
          <w:p w14:paraId="0E9F9CBB">
            <w:pPr>
              <w:spacing w:before="40" w:after="40"/>
              <w:ind w:firstLine="0"/>
              <w:jc w:val="center"/>
            </w:pPr>
            <w:r>
              <w:rPr>
                <w:rFonts w:ascii="Calibri" w:hAnsi="Calibri" w:eastAsia="微软雅黑"/>
                <w:b/>
                <w:color w:val="1A252F"/>
                <w:sz w:val="20"/>
              </w:rPr>
              <w:t>传统SPC</w:t>
            </w:r>
          </w:p>
        </w:tc>
        <w:tc>
          <w:tcPr>
            <w:tcW w:w="2500" w:type="dxa"/>
            <w:shd w:val="clear" w:color="auto" w:fill="EBF5FB"/>
          </w:tcPr>
          <w:p w14:paraId="1D069114">
            <w:pPr>
              <w:spacing w:before="40" w:after="40"/>
              <w:ind w:firstLine="0"/>
              <w:jc w:val="center"/>
            </w:pPr>
            <w:r>
              <w:rPr>
                <w:rFonts w:ascii="Calibri" w:hAnsi="Calibri" w:eastAsia="微软雅黑"/>
                <w:b/>
                <w:color w:val="1A252F"/>
                <w:sz w:val="20"/>
              </w:rPr>
              <w:t>增强型SPC</w:t>
            </w:r>
          </w:p>
        </w:tc>
        <w:tc>
          <w:tcPr>
            <w:tcW w:w="2500" w:type="dxa"/>
            <w:shd w:val="clear" w:color="auto" w:fill="EBF5FB"/>
          </w:tcPr>
          <w:p w14:paraId="2C66C671">
            <w:pPr>
              <w:spacing w:before="40" w:after="40"/>
              <w:ind w:firstLine="0"/>
              <w:jc w:val="center"/>
            </w:pPr>
            <w:r>
              <w:rPr>
                <w:rFonts w:ascii="Calibri" w:hAnsi="Calibri" w:eastAsia="微软雅黑"/>
                <w:b/>
                <w:color w:val="1A252F"/>
                <w:sz w:val="20"/>
              </w:rPr>
              <w:t>改进效果</w:t>
            </w:r>
          </w:p>
        </w:tc>
      </w:tr>
      <w:tr w14:paraId="2D0610E4">
        <w:tc>
          <w:tcPr>
            <w:tcW w:w="2500" w:type="dxa"/>
          </w:tcPr>
          <w:p w14:paraId="2E9A6454">
            <w:pPr>
              <w:spacing w:before="40" w:after="40"/>
              <w:ind w:firstLine="0"/>
              <w:jc w:val="center"/>
            </w:pPr>
            <w:r>
              <w:rPr>
                <w:rFonts w:ascii="Calibri" w:hAnsi="Calibri" w:eastAsia="微软雅黑"/>
                <w:color w:val="5D6D7E"/>
                <w:sz w:val="20"/>
              </w:rPr>
              <w:t>变量处理方式</w:t>
            </w:r>
          </w:p>
        </w:tc>
        <w:tc>
          <w:tcPr>
            <w:tcW w:w="2500" w:type="dxa"/>
          </w:tcPr>
          <w:p w14:paraId="04350F3B">
            <w:pPr>
              <w:spacing w:before="40" w:after="40"/>
              <w:ind w:firstLine="0"/>
              <w:jc w:val="center"/>
            </w:pPr>
            <w:r>
              <w:rPr>
                <w:rFonts w:ascii="Calibri" w:hAnsi="Calibri" w:eastAsia="微软雅黑"/>
                <w:color w:val="5D6D7E"/>
                <w:sz w:val="20"/>
              </w:rPr>
              <w:t>单变量独立监控</w:t>
            </w:r>
          </w:p>
        </w:tc>
        <w:tc>
          <w:tcPr>
            <w:tcW w:w="2500" w:type="dxa"/>
          </w:tcPr>
          <w:p w14:paraId="01838520">
            <w:pPr>
              <w:spacing w:before="40" w:after="40"/>
              <w:ind w:firstLine="0"/>
              <w:jc w:val="center"/>
            </w:pPr>
            <w:r>
              <w:rPr>
                <w:rFonts w:ascii="Calibri" w:hAnsi="Calibri" w:eastAsia="微软雅黑"/>
                <w:color w:val="5D6D7E"/>
                <w:sz w:val="20"/>
              </w:rPr>
              <w:t>多元联合监控（PCA/PLS）</w:t>
            </w:r>
          </w:p>
        </w:tc>
        <w:tc>
          <w:tcPr>
            <w:tcW w:w="2500" w:type="dxa"/>
          </w:tcPr>
          <w:p w14:paraId="78F83593">
            <w:pPr>
              <w:spacing w:before="40" w:after="40"/>
              <w:ind w:firstLine="0"/>
              <w:jc w:val="center"/>
            </w:pPr>
            <w:r>
              <w:rPr>
                <w:rFonts w:ascii="Calibri" w:hAnsi="Calibri" w:eastAsia="微软雅黑"/>
                <w:color w:val="5D6D7E"/>
                <w:sz w:val="20"/>
              </w:rPr>
              <w:t>检出率+23%</w:t>
            </w:r>
          </w:p>
        </w:tc>
      </w:tr>
      <w:tr w14:paraId="72DE7B55">
        <w:tc>
          <w:tcPr>
            <w:tcW w:w="2500" w:type="dxa"/>
          </w:tcPr>
          <w:p w14:paraId="302EA240">
            <w:pPr>
              <w:spacing w:before="40" w:after="40"/>
              <w:ind w:firstLine="0"/>
              <w:jc w:val="center"/>
            </w:pPr>
            <w:r>
              <w:rPr>
                <w:rFonts w:ascii="Calibri" w:hAnsi="Calibri" w:eastAsia="微软雅黑"/>
                <w:color w:val="5D6D7E"/>
                <w:sz w:val="20"/>
              </w:rPr>
              <w:t>自相关处理</w:t>
            </w:r>
          </w:p>
        </w:tc>
        <w:tc>
          <w:tcPr>
            <w:tcW w:w="2500" w:type="dxa"/>
          </w:tcPr>
          <w:p w14:paraId="2A608580">
            <w:pPr>
              <w:spacing w:before="40" w:after="40"/>
              <w:ind w:firstLine="0"/>
              <w:jc w:val="center"/>
            </w:pPr>
            <w:r>
              <w:rPr>
                <w:rFonts w:ascii="Calibri" w:hAnsi="Calibri" w:eastAsia="微软雅黑"/>
                <w:color w:val="5D6D7E"/>
                <w:sz w:val="20"/>
              </w:rPr>
              <w:t>忽略</w:t>
            </w:r>
          </w:p>
        </w:tc>
        <w:tc>
          <w:tcPr>
            <w:tcW w:w="2500" w:type="dxa"/>
          </w:tcPr>
          <w:p w14:paraId="4AE2F737">
            <w:pPr>
              <w:spacing w:before="40" w:after="40"/>
              <w:ind w:firstLine="0"/>
              <w:jc w:val="center"/>
            </w:pPr>
            <w:r>
              <w:rPr>
                <w:rFonts w:ascii="Calibri" w:hAnsi="Calibri" w:eastAsia="微软雅黑"/>
                <w:color w:val="5D6D7E"/>
                <w:sz w:val="20"/>
              </w:rPr>
              <w:t>ARIMA残差图</w:t>
            </w:r>
          </w:p>
        </w:tc>
        <w:tc>
          <w:tcPr>
            <w:tcW w:w="2500" w:type="dxa"/>
          </w:tcPr>
          <w:p w14:paraId="6353D27E">
            <w:pPr>
              <w:spacing w:before="40" w:after="40"/>
              <w:ind w:firstLine="0"/>
              <w:jc w:val="center"/>
            </w:pPr>
            <w:r>
              <w:rPr>
                <w:rFonts w:ascii="Calibri" w:hAnsi="Calibri" w:eastAsia="微软雅黑"/>
                <w:color w:val="5D6D7E"/>
                <w:sz w:val="20"/>
              </w:rPr>
              <w:t>虚警率-45%</w:t>
            </w:r>
          </w:p>
        </w:tc>
      </w:tr>
      <w:tr w14:paraId="73BDDDD7">
        <w:tc>
          <w:tcPr>
            <w:tcW w:w="2500" w:type="dxa"/>
          </w:tcPr>
          <w:p w14:paraId="16728403">
            <w:pPr>
              <w:spacing w:before="40" w:after="40"/>
              <w:ind w:firstLine="0"/>
              <w:jc w:val="center"/>
            </w:pPr>
            <w:r>
              <w:rPr>
                <w:rFonts w:ascii="Calibri" w:hAnsi="Calibri" w:eastAsia="微软雅黑"/>
                <w:color w:val="5D6D7E"/>
                <w:sz w:val="20"/>
              </w:rPr>
              <w:t>控制限更新</w:t>
            </w:r>
          </w:p>
        </w:tc>
        <w:tc>
          <w:tcPr>
            <w:tcW w:w="2500" w:type="dxa"/>
          </w:tcPr>
          <w:p w14:paraId="288877F0">
            <w:pPr>
              <w:spacing w:before="40" w:after="40"/>
              <w:ind w:firstLine="0"/>
              <w:jc w:val="center"/>
            </w:pPr>
            <w:r>
              <w:rPr>
                <w:rFonts w:ascii="Calibri" w:hAnsi="Calibri" w:eastAsia="微软雅黑"/>
                <w:color w:val="5D6D7E"/>
                <w:sz w:val="20"/>
              </w:rPr>
              <w:t>固定</w:t>
            </w:r>
          </w:p>
        </w:tc>
        <w:tc>
          <w:tcPr>
            <w:tcW w:w="2500" w:type="dxa"/>
          </w:tcPr>
          <w:p w14:paraId="0DACAB0A">
            <w:pPr>
              <w:spacing w:before="40" w:after="40"/>
              <w:ind w:firstLine="0"/>
              <w:jc w:val="center"/>
            </w:pPr>
            <w:r>
              <w:rPr>
                <w:rFonts w:ascii="Calibri" w:hAnsi="Calibri" w:eastAsia="微软雅黑"/>
                <w:color w:val="5D6D7E"/>
                <w:sz w:val="20"/>
              </w:rPr>
              <w:t>自适应滑动窗口</w:t>
            </w:r>
          </w:p>
        </w:tc>
        <w:tc>
          <w:tcPr>
            <w:tcW w:w="2500" w:type="dxa"/>
          </w:tcPr>
          <w:p w14:paraId="035E505D">
            <w:pPr>
              <w:spacing w:before="40" w:after="40"/>
              <w:ind w:firstLine="0"/>
              <w:jc w:val="center"/>
            </w:pPr>
            <w:r>
              <w:rPr>
                <w:rFonts w:ascii="Calibri" w:hAnsi="Calibri" w:eastAsia="微软雅黑"/>
                <w:color w:val="5D6D7E"/>
                <w:sz w:val="20"/>
              </w:rPr>
              <w:t>适应性+35%</w:t>
            </w:r>
          </w:p>
        </w:tc>
      </w:tr>
      <w:tr w14:paraId="70CB41EF">
        <w:tc>
          <w:tcPr>
            <w:tcW w:w="2500" w:type="dxa"/>
          </w:tcPr>
          <w:p w14:paraId="4C465F7D">
            <w:pPr>
              <w:spacing w:before="40" w:after="40"/>
              <w:ind w:firstLine="0"/>
              <w:jc w:val="center"/>
            </w:pPr>
            <w:r>
              <w:rPr>
                <w:rFonts w:ascii="Calibri" w:hAnsi="Calibri" w:eastAsia="微软雅黑"/>
                <w:color w:val="5D6D7E"/>
                <w:sz w:val="20"/>
              </w:rPr>
              <w:t>非正态数据</w:t>
            </w:r>
          </w:p>
        </w:tc>
        <w:tc>
          <w:tcPr>
            <w:tcW w:w="2500" w:type="dxa"/>
          </w:tcPr>
          <w:p w14:paraId="7A7FD8E5">
            <w:pPr>
              <w:spacing w:before="40" w:after="40"/>
              <w:ind w:firstLine="0"/>
              <w:jc w:val="center"/>
            </w:pPr>
            <w:r>
              <w:rPr>
                <w:rFonts w:ascii="Calibri" w:hAnsi="Calibri" w:eastAsia="微软雅黑"/>
                <w:color w:val="5D6D7E"/>
                <w:sz w:val="20"/>
              </w:rPr>
              <w:t>假设正态分布</w:t>
            </w:r>
          </w:p>
        </w:tc>
        <w:tc>
          <w:tcPr>
            <w:tcW w:w="2500" w:type="dxa"/>
          </w:tcPr>
          <w:p w14:paraId="61E1BE22">
            <w:pPr>
              <w:spacing w:before="40" w:after="40"/>
              <w:ind w:firstLine="0"/>
              <w:jc w:val="center"/>
            </w:pPr>
            <w:r>
              <w:rPr>
                <w:rFonts w:ascii="Calibri" w:hAnsi="Calibri" w:eastAsia="微软雅黑"/>
                <w:color w:val="5D6D7E"/>
                <w:sz w:val="20"/>
              </w:rPr>
              <w:t>Box-Cox变换+核密度</w:t>
            </w:r>
          </w:p>
        </w:tc>
        <w:tc>
          <w:tcPr>
            <w:tcW w:w="2500" w:type="dxa"/>
          </w:tcPr>
          <w:p w14:paraId="4F120DDA">
            <w:pPr>
              <w:spacing w:before="40" w:after="40"/>
              <w:ind w:firstLine="0"/>
              <w:jc w:val="center"/>
            </w:pPr>
            <w:r>
              <w:rPr>
                <w:rFonts w:ascii="Calibri" w:hAnsi="Calibri" w:eastAsia="微软雅黑"/>
                <w:color w:val="5D6D7E"/>
                <w:sz w:val="20"/>
              </w:rPr>
              <w:t>适用范围+40%</w:t>
            </w:r>
          </w:p>
        </w:tc>
      </w:tr>
    </w:tbl>
    <w:p w14:paraId="4592A83A">
      <w:pPr>
        <w:pStyle w:val="5"/>
      </w:pPr>
      <w:r>
        <w:t>表3：传统SPC与增强型SPC技术对比</w:t>
      </w:r>
    </w:p>
    <w:p w14:paraId="62141076">
      <w:pPr>
        <w:pStyle w:val="3"/>
      </w:pPr>
      <w:r>
        <w:t>4.2 AI预测模型</w:t>
      </w:r>
    </w:p>
    <w:p w14:paraId="5BC9CA8A">
      <w:r>
        <w:t>在AI预测模型方面，平台构建了面向冶金场景的专用模型库，覆盖能耗预测、质量预测、设备故障预测等多个应用场景。</w:t>
      </w:r>
    </w:p>
    <w:p w14:paraId="093BB742">
      <w:r>
        <w:t>能耗预测模型采用基于注意力机制的长短期记忆网络（Attention-LSTM），充分考虑生产工艺参数、环境温度、设备负荷等多种影响因素。模型输入包括历史能耗序列、生产计划、工艺参数设置等，输出未来多时间步的能耗预测值及置信区间。在验证数据集上，模型24小时预测误差（MAPE）低于3.2%，满足工程应用要求。</w:t>
      </w:r>
    </w:p>
    <w:p w14:paraId="27CD0BA6">
      <w:r>
        <w:t>质量预测模型基于集成学习方法，融合随机森林、梯度提升树（XGBoost）和浅层神经网络，预测最终产品的力学性能指标（如抗拉强度、屈服强度、延伸率）。模型利用炼钢过程中的化学成分、温度、轧制参数等中间过程数据，在产品完成全部生产工序前即可给出质量预测，为工艺调整争取时间窗口。</w:t>
      </w:r>
    </w:p>
    <w:p w14:paraId="01EA308E">
      <w:r>
        <w:t>设备故障预测模型采用卷积神经网络（CNN）与长短期记忆网络（LSTM）的混合架构，从振动信号的时频图中自动提取故障特征，并捕捉故障演化的时间动态。模型已在滚动轴承、齿轮箱等关键部件上验证，故障识别准确率达到96.5%，提前预警时间可达72小时以上。</w:t>
      </w:r>
    </w:p>
    <w:p w14:paraId="00376169">
      <w:r>
        <w:t>表4展示了各核心预测模型的性能指标。</w:t>
      </w:r>
    </w:p>
    <w:tbl>
      <w:tblPr>
        <w:tblStyle w:val="11"/>
        <w:tblW w:w="5000" w:type="pct"/>
        <w:tblInd w:w="0" w:type="dxa"/>
        <w:tblBorders>
          <w:top w:val="single" w:color="2C3E50" w:sz="12" w:space="0"/>
          <w:left w:val="none" w:color="auto" w:sz="0" w:space="0"/>
          <w:bottom w:val="single" w:color="2C3E50" w:sz="12" w:space="0"/>
          <w:right w:val="none" w:color="auto" w:sz="0" w:space="0"/>
          <w:insideH w:val="single" w:color="BDC3C7" w:sz="4" w:space="0"/>
          <w:insideV w:val="none" w:color="auto" w:sz="0" w:space="0"/>
        </w:tblBorders>
        <w:tblLayout w:type="autofit"/>
        <w:tblCellMar>
          <w:top w:w="0" w:type="dxa"/>
          <w:left w:w="10" w:type="dxa"/>
          <w:bottom w:w="0" w:type="dxa"/>
          <w:right w:w="10" w:type="dxa"/>
        </w:tblCellMar>
      </w:tblPr>
      <w:tblGrid>
        <w:gridCol w:w="2232"/>
        <w:gridCol w:w="2301"/>
        <w:gridCol w:w="2254"/>
        <w:gridCol w:w="2259"/>
      </w:tblGrid>
      <w:tr w14:paraId="57A72393">
        <w:trPr>
          <w:tblHeader/>
        </w:trPr>
        <w:tc>
          <w:tcPr>
            <w:tcW w:w="2500" w:type="dxa"/>
            <w:shd w:val="clear" w:color="auto" w:fill="EBF5FB"/>
          </w:tcPr>
          <w:p w14:paraId="6B7A97B7">
            <w:pPr>
              <w:spacing w:before="40" w:after="40"/>
              <w:ind w:firstLine="0"/>
              <w:jc w:val="center"/>
            </w:pPr>
            <w:r>
              <w:rPr>
                <w:rFonts w:ascii="Calibri" w:hAnsi="Calibri" w:eastAsia="微软雅黑"/>
                <w:b/>
                <w:color w:val="1A252F"/>
                <w:sz w:val="20"/>
              </w:rPr>
              <w:t>预测模型</w:t>
            </w:r>
          </w:p>
        </w:tc>
        <w:tc>
          <w:tcPr>
            <w:tcW w:w="2500" w:type="dxa"/>
            <w:shd w:val="clear" w:color="auto" w:fill="EBF5FB"/>
          </w:tcPr>
          <w:p w14:paraId="2966EDF4">
            <w:pPr>
              <w:spacing w:before="40" w:after="40"/>
              <w:ind w:firstLine="0"/>
              <w:jc w:val="center"/>
            </w:pPr>
            <w:r>
              <w:rPr>
                <w:rFonts w:ascii="Calibri" w:hAnsi="Calibri" w:eastAsia="微软雅黑"/>
                <w:b/>
                <w:color w:val="1A252F"/>
                <w:sz w:val="20"/>
              </w:rPr>
              <w:t>算法架构</w:t>
            </w:r>
          </w:p>
        </w:tc>
        <w:tc>
          <w:tcPr>
            <w:tcW w:w="2500" w:type="dxa"/>
            <w:shd w:val="clear" w:color="auto" w:fill="EBF5FB"/>
          </w:tcPr>
          <w:p w14:paraId="449A4265">
            <w:pPr>
              <w:spacing w:before="40" w:after="40"/>
              <w:ind w:firstLine="0"/>
              <w:jc w:val="center"/>
            </w:pPr>
            <w:r>
              <w:rPr>
                <w:rFonts w:ascii="Calibri" w:hAnsi="Calibri" w:eastAsia="微软雅黑"/>
                <w:b/>
                <w:color w:val="1A252F"/>
                <w:sz w:val="20"/>
              </w:rPr>
              <w:t>核心指标</w:t>
            </w:r>
          </w:p>
        </w:tc>
        <w:tc>
          <w:tcPr>
            <w:tcW w:w="2500" w:type="dxa"/>
            <w:shd w:val="clear" w:color="auto" w:fill="EBF5FB"/>
          </w:tcPr>
          <w:p w14:paraId="62905260">
            <w:pPr>
              <w:spacing w:before="40" w:after="40"/>
              <w:ind w:firstLine="0"/>
              <w:jc w:val="center"/>
            </w:pPr>
            <w:r>
              <w:rPr>
                <w:rFonts w:ascii="Calibri" w:hAnsi="Calibri" w:eastAsia="微软雅黑"/>
                <w:b/>
                <w:color w:val="1A252F"/>
                <w:sz w:val="20"/>
              </w:rPr>
              <w:t>性能水平</w:t>
            </w:r>
          </w:p>
        </w:tc>
      </w:tr>
      <w:tr w14:paraId="350CB1A6">
        <w:tc>
          <w:tcPr>
            <w:tcW w:w="2500" w:type="dxa"/>
          </w:tcPr>
          <w:p w14:paraId="73F84E8F">
            <w:pPr>
              <w:spacing w:before="40" w:after="40"/>
              <w:ind w:firstLine="0"/>
              <w:jc w:val="center"/>
            </w:pPr>
            <w:r>
              <w:rPr>
                <w:rFonts w:ascii="Calibri" w:hAnsi="Calibri" w:eastAsia="微软雅黑"/>
                <w:color w:val="5D6D7E"/>
                <w:sz w:val="20"/>
              </w:rPr>
              <w:t>能耗预测</w:t>
            </w:r>
          </w:p>
        </w:tc>
        <w:tc>
          <w:tcPr>
            <w:tcW w:w="2500" w:type="dxa"/>
          </w:tcPr>
          <w:p w14:paraId="5A7554E9">
            <w:pPr>
              <w:spacing w:before="40" w:after="40"/>
              <w:ind w:firstLine="0"/>
              <w:jc w:val="center"/>
            </w:pPr>
            <w:r>
              <w:rPr>
                <w:rFonts w:ascii="Calibri" w:hAnsi="Calibri" w:eastAsia="微软雅黑"/>
                <w:color w:val="5D6D7E"/>
                <w:sz w:val="20"/>
              </w:rPr>
              <w:t>Attention-LSTM</w:t>
            </w:r>
          </w:p>
        </w:tc>
        <w:tc>
          <w:tcPr>
            <w:tcW w:w="2500" w:type="dxa"/>
          </w:tcPr>
          <w:p w14:paraId="6FF4FE2B">
            <w:pPr>
              <w:spacing w:before="40" w:after="40"/>
              <w:ind w:firstLine="0"/>
              <w:jc w:val="center"/>
            </w:pPr>
            <w:r>
              <w:rPr>
                <w:rFonts w:ascii="Calibri" w:hAnsi="Calibri" w:eastAsia="微软雅黑"/>
                <w:color w:val="5D6D7E"/>
                <w:sz w:val="20"/>
              </w:rPr>
              <w:t>MAPE</w:t>
            </w:r>
          </w:p>
        </w:tc>
        <w:tc>
          <w:tcPr>
            <w:tcW w:w="2500" w:type="dxa"/>
          </w:tcPr>
          <w:p w14:paraId="022AE049">
            <w:pPr>
              <w:spacing w:before="40" w:after="40"/>
              <w:ind w:firstLine="0"/>
              <w:jc w:val="center"/>
            </w:pPr>
            <w:r>
              <w:rPr>
                <w:rFonts w:ascii="Calibri" w:hAnsi="Calibri" w:eastAsia="微软雅黑"/>
                <w:color w:val="5D6D7E"/>
                <w:sz w:val="20"/>
              </w:rPr>
              <w:t>&lt;3.2%</w:t>
            </w:r>
          </w:p>
        </w:tc>
      </w:tr>
      <w:tr w14:paraId="2AECD613">
        <w:tc>
          <w:tcPr>
            <w:tcW w:w="2500" w:type="dxa"/>
          </w:tcPr>
          <w:p w14:paraId="5CAD11B8">
            <w:pPr>
              <w:spacing w:before="40" w:after="40"/>
              <w:ind w:firstLine="0"/>
              <w:jc w:val="center"/>
            </w:pPr>
            <w:r>
              <w:rPr>
                <w:rFonts w:ascii="Calibri" w:hAnsi="Calibri" w:eastAsia="微软雅黑"/>
                <w:color w:val="5D6D7E"/>
                <w:sz w:val="20"/>
              </w:rPr>
              <w:t>质量预测</w:t>
            </w:r>
          </w:p>
        </w:tc>
        <w:tc>
          <w:tcPr>
            <w:tcW w:w="2500" w:type="dxa"/>
          </w:tcPr>
          <w:p w14:paraId="705D2E96">
            <w:pPr>
              <w:spacing w:before="40" w:after="40"/>
              <w:ind w:firstLine="0"/>
              <w:jc w:val="center"/>
            </w:pPr>
            <w:r>
              <w:rPr>
                <w:rFonts w:ascii="Calibri" w:hAnsi="Calibri" w:eastAsia="微软雅黑"/>
                <w:color w:val="5D6D7E"/>
                <w:sz w:val="20"/>
              </w:rPr>
              <w:t>XGBoost+神经网络</w:t>
            </w:r>
          </w:p>
        </w:tc>
        <w:tc>
          <w:tcPr>
            <w:tcW w:w="2500" w:type="dxa"/>
          </w:tcPr>
          <w:p w14:paraId="1F781B86">
            <w:pPr>
              <w:spacing w:before="40" w:after="40"/>
              <w:ind w:firstLine="0"/>
              <w:jc w:val="center"/>
            </w:pPr>
            <w:r>
              <w:rPr>
                <w:rFonts w:ascii="Calibri" w:hAnsi="Calibri" w:eastAsia="微软雅黑"/>
                <w:color w:val="5D6D7E"/>
                <w:sz w:val="20"/>
              </w:rPr>
              <w:t>R2</w:t>
            </w:r>
          </w:p>
        </w:tc>
        <w:tc>
          <w:tcPr>
            <w:tcW w:w="2500" w:type="dxa"/>
          </w:tcPr>
          <w:p w14:paraId="0512DE26">
            <w:pPr>
              <w:spacing w:before="40" w:after="40"/>
              <w:ind w:firstLine="0"/>
              <w:jc w:val="center"/>
            </w:pPr>
            <w:r>
              <w:rPr>
                <w:rFonts w:ascii="Calibri" w:hAnsi="Calibri" w:eastAsia="微软雅黑"/>
                <w:color w:val="5D6D7E"/>
                <w:sz w:val="20"/>
              </w:rPr>
              <w:t>&gt;0.92</w:t>
            </w:r>
          </w:p>
        </w:tc>
      </w:tr>
      <w:tr w14:paraId="0C313DBA">
        <w:tc>
          <w:tcPr>
            <w:tcW w:w="2500" w:type="dxa"/>
          </w:tcPr>
          <w:p w14:paraId="138E66B4">
            <w:pPr>
              <w:spacing w:before="40" w:after="40"/>
              <w:ind w:firstLine="0"/>
              <w:jc w:val="center"/>
            </w:pPr>
            <w:r>
              <w:rPr>
                <w:rFonts w:ascii="Calibri" w:hAnsi="Calibri" w:eastAsia="微软雅黑"/>
                <w:color w:val="5D6D7E"/>
                <w:sz w:val="20"/>
              </w:rPr>
              <w:t>故障识别</w:t>
            </w:r>
          </w:p>
        </w:tc>
        <w:tc>
          <w:tcPr>
            <w:tcW w:w="2500" w:type="dxa"/>
          </w:tcPr>
          <w:p w14:paraId="7F2EE0F5">
            <w:pPr>
              <w:spacing w:before="40" w:after="40"/>
              <w:ind w:firstLine="0"/>
              <w:jc w:val="center"/>
            </w:pPr>
            <w:r>
              <w:rPr>
                <w:rFonts w:ascii="Calibri" w:hAnsi="Calibri" w:eastAsia="微软雅黑"/>
                <w:color w:val="5D6D7E"/>
                <w:sz w:val="20"/>
              </w:rPr>
              <w:t>CNN-LSTM</w:t>
            </w:r>
          </w:p>
        </w:tc>
        <w:tc>
          <w:tcPr>
            <w:tcW w:w="2500" w:type="dxa"/>
          </w:tcPr>
          <w:p w14:paraId="0327C754">
            <w:pPr>
              <w:spacing w:before="40" w:after="40"/>
              <w:ind w:firstLine="0"/>
              <w:jc w:val="center"/>
            </w:pPr>
            <w:r>
              <w:rPr>
                <w:rFonts w:ascii="Calibri" w:hAnsi="Calibri" w:eastAsia="微软雅黑"/>
                <w:color w:val="5D6D7E"/>
                <w:sz w:val="20"/>
              </w:rPr>
              <w:t>准确率</w:t>
            </w:r>
          </w:p>
        </w:tc>
        <w:tc>
          <w:tcPr>
            <w:tcW w:w="2500" w:type="dxa"/>
          </w:tcPr>
          <w:p w14:paraId="6644581F">
            <w:pPr>
              <w:spacing w:before="40" w:after="40"/>
              <w:ind w:firstLine="0"/>
              <w:jc w:val="center"/>
            </w:pPr>
            <w:r>
              <w:rPr>
                <w:rFonts w:ascii="Calibri" w:hAnsi="Calibri" w:eastAsia="微软雅黑"/>
                <w:color w:val="5D6D7E"/>
                <w:sz w:val="20"/>
              </w:rPr>
              <w:t>96.5%</w:t>
            </w:r>
          </w:p>
        </w:tc>
      </w:tr>
      <w:tr w14:paraId="75547EAB">
        <w:tc>
          <w:tcPr>
            <w:tcW w:w="2500" w:type="dxa"/>
          </w:tcPr>
          <w:p w14:paraId="7E1A96BE">
            <w:pPr>
              <w:spacing w:before="40" w:after="40"/>
              <w:ind w:firstLine="0"/>
              <w:jc w:val="center"/>
            </w:pPr>
            <w:r>
              <w:rPr>
                <w:rFonts w:ascii="Calibri" w:hAnsi="Calibri" w:eastAsia="微软雅黑"/>
                <w:color w:val="5D6D7E"/>
                <w:sz w:val="20"/>
              </w:rPr>
              <w:t>RUL预测</w:t>
            </w:r>
          </w:p>
        </w:tc>
        <w:tc>
          <w:tcPr>
            <w:tcW w:w="2500" w:type="dxa"/>
          </w:tcPr>
          <w:p w14:paraId="69A89BE1">
            <w:pPr>
              <w:spacing w:before="40" w:after="40"/>
              <w:ind w:firstLine="0"/>
              <w:jc w:val="center"/>
            </w:pPr>
            <w:r>
              <w:rPr>
                <w:rFonts w:ascii="Calibri" w:hAnsi="Calibri" w:eastAsia="微软雅黑"/>
                <w:color w:val="5D6D7E"/>
                <w:sz w:val="20"/>
              </w:rPr>
              <w:t>LSTM退化模型</w:t>
            </w:r>
          </w:p>
        </w:tc>
        <w:tc>
          <w:tcPr>
            <w:tcW w:w="2500" w:type="dxa"/>
          </w:tcPr>
          <w:p w14:paraId="7CA78E7A">
            <w:pPr>
              <w:spacing w:before="40" w:after="40"/>
              <w:ind w:firstLine="0"/>
              <w:jc w:val="center"/>
            </w:pPr>
            <w:r>
              <w:rPr>
                <w:rFonts w:ascii="Calibri" w:hAnsi="Calibri" w:eastAsia="微软雅黑"/>
                <w:color w:val="5D6D7E"/>
                <w:sz w:val="20"/>
              </w:rPr>
              <w:t>RMSE</w:t>
            </w:r>
          </w:p>
        </w:tc>
        <w:tc>
          <w:tcPr>
            <w:tcW w:w="2500" w:type="dxa"/>
          </w:tcPr>
          <w:p w14:paraId="0BB37162">
            <w:pPr>
              <w:spacing w:before="40" w:after="40"/>
              <w:ind w:firstLine="0"/>
              <w:jc w:val="center"/>
            </w:pPr>
            <w:r>
              <w:rPr>
                <w:rFonts w:ascii="Calibri" w:hAnsi="Calibri" w:eastAsia="微软雅黑"/>
                <w:color w:val="5D6D7E"/>
                <w:sz w:val="20"/>
              </w:rPr>
              <w:t>&lt;12小时</w:t>
            </w:r>
          </w:p>
        </w:tc>
      </w:tr>
    </w:tbl>
    <w:p w14:paraId="6946A957">
      <w:pPr>
        <w:pStyle w:val="5"/>
      </w:pPr>
      <w:r>
        <w:t>表4：核心预测模型性能指标</w:t>
      </w:r>
    </w:p>
    <w:p w14:paraId="53FB0280">
      <w:pPr>
        <w:pStyle w:val="3"/>
      </w:pPr>
      <w:r>
        <w:t>4.3 数字孪生技术</w:t>
      </w:r>
    </w:p>
    <w:p w14:paraId="0033DCDB">
      <w:r>
        <w:t>数字孪生模块采用"数据驱动+机理融合"的技术路线。在几何建模层面，基于Unity 3D引擎构建生产设备和工厂环境的高精度三维模型，模型精度达到设备级，关键设备支持拆解查看内部结构。</w:t>
      </w:r>
    </w:p>
    <w:p w14:paraId="41468678">
      <w:r>
        <w:t>在数据驱动层面，通过OPC UA协议与SCADA系统对接，实时获取设备运行数据，驱动三维模型的动态更新。温度、压力、流量等工艺参数以热力图、粒子流、数字标签等形式叠加在三维模型上，实现物理世界到虚拟世界的实时映射。</w:t>
      </w:r>
    </w:p>
    <w:p w14:paraId="59551D57">
      <w:r>
        <w:t>在机理融合层面，我们将冶金工艺机理模型嵌入数字孪生系统。例如，基于高炉操作线理论构建炉内热状态模型，结合实时风温、风量、煤气成分等数据，实时估算炉内温度分布和炉况状态，为高炉操作提供决策支持。</w:t>
      </w:r>
    </w:p>
    <w:p w14:paraId="3E844FEE">
      <w:pPr>
        <w:pStyle w:val="2"/>
      </w:pPr>
      <w:r>
        <w:t>五、应用场景</w:t>
      </w:r>
      <w:bookmarkStart w:id="5" w:name="_Toc005"/>
      <w:bookmarkEnd w:id="5"/>
    </w:p>
    <w:p w14:paraId="5ED91DBA">
      <w:pPr>
        <w:pStyle w:val="3"/>
      </w:pPr>
      <w:r>
        <w:t>5.1 质量智能预警场景</w:t>
      </w:r>
    </w:p>
    <w:p w14:paraId="2A01A042">
      <w:r>
        <w:t>某热轧生产线在生产高强度汽车板过程中，平台SPC模块检测到精轧出口厚度的CUSUM统计量连续7个点呈上升趋势，触发黄色预警。质量工程师通过平台追溯功能，关联上游粗轧工序数据，发现粗轧R2机架轧制力存在微小漂移。及时调整轧辊间隙后，厚度偏差恢复到正常范围，避免了约120吨潜在不合格品的产生，直接挽回经济损失约36万元。</w:t>
      </w:r>
    </w:p>
    <w:p w14:paraId="26FC30EA">
      <w:pPr>
        <w:pStyle w:val="3"/>
      </w:pPr>
      <w:r>
        <w:t>5.2 能耗优化场景</w:t>
      </w:r>
    </w:p>
    <w:p w14:paraId="55B5283C">
      <w:r>
        <w:t>某高炉在生产过程中，平台能耗模块发现吨铁综合能耗连续3天高于目标值8%。通过关联分析，系统识别出热风炉换炉周期设置不合理是导致能耗偏高的主要原因。平台推荐优化方案：将换炉周期从120分钟调整为105分钟，同时微调送风温度设定值。实施后，吨铁综合能耗降低5.3%，年化节约能源成本约280万元。</w:t>
      </w:r>
    </w:p>
    <w:p w14:paraId="0F8D83AC">
      <w:r>
        <w:t>表5展示了平台在某高炉产线实施能耗优化前后的关键指标对比。</w:t>
      </w:r>
    </w:p>
    <w:tbl>
      <w:tblPr>
        <w:tblStyle w:val="11"/>
        <w:tblW w:w="5000" w:type="pct"/>
        <w:tblInd w:w="0" w:type="dxa"/>
        <w:tblBorders>
          <w:top w:val="single" w:color="2C3E50" w:sz="12" w:space="0"/>
          <w:left w:val="none" w:color="auto" w:sz="0" w:space="0"/>
          <w:bottom w:val="single" w:color="2C3E50" w:sz="12" w:space="0"/>
          <w:right w:val="none" w:color="auto" w:sz="0" w:space="0"/>
          <w:insideH w:val="single" w:color="BDC3C7" w:sz="4" w:space="0"/>
          <w:insideV w:val="none" w:color="auto" w:sz="0" w:space="0"/>
        </w:tblBorders>
        <w:tblLayout w:type="autofit"/>
        <w:tblCellMar>
          <w:top w:w="0" w:type="dxa"/>
          <w:left w:w="10" w:type="dxa"/>
          <w:bottom w:w="0" w:type="dxa"/>
          <w:right w:w="10" w:type="dxa"/>
        </w:tblCellMar>
      </w:tblPr>
      <w:tblGrid>
        <w:gridCol w:w="2255"/>
        <w:gridCol w:w="2264"/>
        <w:gridCol w:w="2264"/>
        <w:gridCol w:w="2263"/>
      </w:tblGrid>
      <w:tr w14:paraId="6A42085E">
        <w:trPr>
          <w:tblHeader/>
        </w:trPr>
        <w:tc>
          <w:tcPr>
            <w:tcW w:w="2500" w:type="dxa"/>
            <w:shd w:val="clear" w:color="auto" w:fill="EBF5FB"/>
          </w:tcPr>
          <w:p w14:paraId="3AAD3F71">
            <w:pPr>
              <w:spacing w:before="40" w:after="40"/>
              <w:ind w:firstLine="0"/>
              <w:jc w:val="center"/>
            </w:pPr>
            <w:r>
              <w:rPr>
                <w:rFonts w:ascii="Calibri" w:hAnsi="Calibri" w:eastAsia="微软雅黑"/>
                <w:b/>
                <w:color w:val="1A252F"/>
                <w:sz w:val="20"/>
              </w:rPr>
              <w:t>指标</w:t>
            </w:r>
          </w:p>
        </w:tc>
        <w:tc>
          <w:tcPr>
            <w:tcW w:w="2500" w:type="dxa"/>
            <w:shd w:val="clear" w:color="auto" w:fill="EBF5FB"/>
          </w:tcPr>
          <w:p w14:paraId="204059B2">
            <w:pPr>
              <w:spacing w:before="40" w:after="40"/>
              <w:ind w:firstLine="0"/>
              <w:jc w:val="center"/>
            </w:pPr>
            <w:r>
              <w:rPr>
                <w:rFonts w:ascii="Calibri" w:hAnsi="Calibri" w:eastAsia="微软雅黑"/>
                <w:b/>
                <w:color w:val="1A252F"/>
                <w:sz w:val="20"/>
              </w:rPr>
              <w:t>优化前</w:t>
            </w:r>
          </w:p>
        </w:tc>
        <w:tc>
          <w:tcPr>
            <w:tcW w:w="2500" w:type="dxa"/>
            <w:shd w:val="clear" w:color="auto" w:fill="EBF5FB"/>
          </w:tcPr>
          <w:p w14:paraId="37C8482C">
            <w:pPr>
              <w:spacing w:before="40" w:after="40"/>
              <w:ind w:firstLine="0"/>
              <w:jc w:val="center"/>
            </w:pPr>
            <w:r>
              <w:rPr>
                <w:rFonts w:ascii="Calibri" w:hAnsi="Calibri" w:eastAsia="微软雅黑"/>
                <w:b/>
                <w:color w:val="1A252F"/>
                <w:sz w:val="20"/>
              </w:rPr>
              <w:t>优化后</w:t>
            </w:r>
          </w:p>
        </w:tc>
        <w:tc>
          <w:tcPr>
            <w:tcW w:w="2500" w:type="dxa"/>
            <w:shd w:val="clear" w:color="auto" w:fill="EBF5FB"/>
          </w:tcPr>
          <w:p w14:paraId="033388D6">
            <w:pPr>
              <w:spacing w:before="40" w:after="40"/>
              <w:ind w:firstLine="0"/>
              <w:jc w:val="center"/>
            </w:pPr>
            <w:r>
              <w:rPr>
                <w:rFonts w:ascii="Calibri" w:hAnsi="Calibri" w:eastAsia="微软雅黑"/>
                <w:b/>
                <w:color w:val="1A252F"/>
                <w:sz w:val="20"/>
              </w:rPr>
              <w:t>改善幅度</w:t>
            </w:r>
          </w:p>
        </w:tc>
      </w:tr>
      <w:tr w14:paraId="1944CC4C">
        <w:tc>
          <w:tcPr>
            <w:tcW w:w="2500" w:type="dxa"/>
          </w:tcPr>
          <w:p w14:paraId="72F9DE53">
            <w:pPr>
              <w:spacing w:before="40" w:after="40"/>
              <w:ind w:firstLine="0"/>
              <w:jc w:val="center"/>
            </w:pPr>
            <w:r>
              <w:rPr>
                <w:rFonts w:ascii="Calibri" w:hAnsi="Calibri" w:eastAsia="微软雅黑"/>
                <w:color w:val="5D6D7E"/>
                <w:sz w:val="20"/>
              </w:rPr>
              <w:t>吨铁综合能耗(kgce)</w:t>
            </w:r>
          </w:p>
        </w:tc>
        <w:tc>
          <w:tcPr>
            <w:tcW w:w="2500" w:type="dxa"/>
          </w:tcPr>
          <w:p w14:paraId="5CCF44AF">
            <w:pPr>
              <w:spacing w:before="40" w:after="40"/>
              <w:ind w:firstLine="0"/>
              <w:jc w:val="center"/>
            </w:pPr>
            <w:r>
              <w:rPr>
                <w:rFonts w:ascii="Calibri" w:hAnsi="Calibri" w:eastAsia="微软雅黑"/>
                <w:color w:val="5D6D7E"/>
                <w:sz w:val="20"/>
              </w:rPr>
              <w:t>521.3</w:t>
            </w:r>
          </w:p>
        </w:tc>
        <w:tc>
          <w:tcPr>
            <w:tcW w:w="2500" w:type="dxa"/>
          </w:tcPr>
          <w:p w14:paraId="56AA7152">
            <w:pPr>
              <w:spacing w:before="40" w:after="40"/>
              <w:ind w:firstLine="0"/>
              <w:jc w:val="center"/>
            </w:pPr>
            <w:r>
              <w:rPr>
                <w:rFonts w:ascii="Calibri" w:hAnsi="Calibri" w:eastAsia="微软雅黑"/>
                <w:color w:val="5D6D7E"/>
                <w:sz w:val="20"/>
              </w:rPr>
              <w:t>493.7</w:t>
            </w:r>
          </w:p>
        </w:tc>
        <w:tc>
          <w:tcPr>
            <w:tcW w:w="2500" w:type="dxa"/>
          </w:tcPr>
          <w:p w14:paraId="02D0B6D9">
            <w:pPr>
              <w:spacing w:before="40" w:after="40"/>
              <w:ind w:firstLine="0"/>
              <w:jc w:val="center"/>
            </w:pPr>
            <w:r>
              <w:rPr>
                <w:rFonts w:ascii="Calibri" w:hAnsi="Calibri" w:eastAsia="微软雅黑"/>
                <w:color w:val="5D6D7E"/>
                <w:sz w:val="20"/>
              </w:rPr>
              <w:t>-5.3%</w:t>
            </w:r>
          </w:p>
        </w:tc>
      </w:tr>
      <w:tr w14:paraId="5FF792D5">
        <w:tc>
          <w:tcPr>
            <w:tcW w:w="2500" w:type="dxa"/>
          </w:tcPr>
          <w:p w14:paraId="57286104">
            <w:pPr>
              <w:spacing w:before="40" w:after="40"/>
              <w:ind w:firstLine="0"/>
              <w:jc w:val="center"/>
            </w:pPr>
            <w:r>
              <w:rPr>
                <w:rFonts w:ascii="Calibri" w:hAnsi="Calibri" w:eastAsia="微软雅黑"/>
                <w:color w:val="5D6D7E"/>
                <w:sz w:val="20"/>
              </w:rPr>
              <w:t>热风炉效率(%)</w:t>
            </w:r>
          </w:p>
        </w:tc>
        <w:tc>
          <w:tcPr>
            <w:tcW w:w="2500" w:type="dxa"/>
          </w:tcPr>
          <w:p w14:paraId="286CBCCE">
            <w:pPr>
              <w:spacing w:before="40" w:after="40"/>
              <w:ind w:firstLine="0"/>
              <w:jc w:val="center"/>
            </w:pPr>
            <w:r>
              <w:rPr>
                <w:rFonts w:ascii="Calibri" w:hAnsi="Calibri" w:eastAsia="微软雅黑"/>
                <w:color w:val="5D6D7E"/>
                <w:sz w:val="20"/>
              </w:rPr>
              <w:t>78.5</w:t>
            </w:r>
          </w:p>
        </w:tc>
        <w:tc>
          <w:tcPr>
            <w:tcW w:w="2500" w:type="dxa"/>
          </w:tcPr>
          <w:p w14:paraId="77545322">
            <w:pPr>
              <w:spacing w:before="40" w:after="40"/>
              <w:ind w:firstLine="0"/>
              <w:jc w:val="center"/>
            </w:pPr>
            <w:r>
              <w:rPr>
                <w:rFonts w:ascii="Calibri" w:hAnsi="Calibri" w:eastAsia="微软雅黑"/>
                <w:color w:val="5D6D7E"/>
                <w:sz w:val="20"/>
              </w:rPr>
              <w:t>84.2</w:t>
            </w:r>
          </w:p>
        </w:tc>
        <w:tc>
          <w:tcPr>
            <w:tcW w:w="2500" w:type="dxa"/>
          </w:tcPr>
          <w:p w14:paraId="70F93C8E">
            <w:pPr>
              <w:spacing w:before="40" w:after="40"/>
              <w:ind w:firstLine="0"/>
              <w:jc w:val="center"/>
            </w:pPr>
            <w:r>
              <w:rPr>
                <w:rFonts w:ascii="Calibri" w:hAnsi="Calibri" w:eastAsia="微软雅黑"/>
                <w:color w:val="5D6D7E"/>
                <w:sz w:val="20"/>
              </w:rPr>
              <w:t>+5.7%</w:t>
            </w:r>
          </w:p>
        </w:tc>
      </w:tr>
      <w:tr w14:paraId="10078246">
        <w:tc>
          <w:tcPr>
            <w:tcW w:w="2500" w:type="dxa"/>
          </w:tcPr>
          <w:p w14:paraId="3E43CC62">
            <w:pPr>
              <w:spacing w:before="40" w:after="40"/>
              <w:ind w:firstLine="0"/>
              <w:jc w:val="center"/>
            </w:pPr>
            <w:r>
              <w:rPr>
                <w:rFonts w:ascii="Calibri" w:hAnsi="Calibri" w:eastAsia="微软雅黑"/>
                <w:color w:val="5D6D7E"/>
                <w:sz w:val="20"/>
              </w:rPr>
              <w:t>煤气利用率(%)</w:t>
            </w:r>
          </w:p>
        </w:tc>
        <w:tc>
          <w:tcPr>
            <w:tcW w:w="2500" w:type="dxa"/>
          </w:tcPr>
          <w:p w14:paraId="65C82171">
            <w:pPr>
              <w:spacing w:before="40" w:after="40"/>
              <w:ind w:firstLine="0"/>
              <w:jc w:val="center"/>
            </w:pPr>
            <w:r>
              <w:rPr>
                <w:rFonts w:ascii="Calibri" w:hAnsi="Calibri" w:eastAsia="微软雅黑"/>
                <w:color w:val="5D6D7E"/>
                <w:sz w:val="20"/>
              </w:rPr>
              <w:t>42.1</w:t>
            </w:r>
          </w:p>
        </w:tc>
        <w:tc>
          <w:tcPr>
            <w:tcW w:w="2500" w:type="dxa"/>
          </w:tcPr>
          <w:p w14:paraId="6EFD1EC5">
            <w:pPr>
              <w:spacing w:before="40" w:after="40"/>
              <w:ind w:firstLine="0"/>
              <w:jc w:val="center"/>
            </w:pPr>
            <w:r>
              <w:rPr>
                <w:rFonts w:ascii="Calibri" w:hAnsi="Calibri" w:eastAsia="微软雅黑"/>
                <w:color w:val="5D6D7E"/>
                <w:sz w:val="20"/>
              </w:rPr>
              <w:t>48.6</w:t>
            </w:r>
          </w:p>
        </w:tc>
        <w:tc>
          <w:tcPr>
            <w:tcW w:w="2500" w:type="dxa"/>
          </w:tcPr>
          <w:p w14:paraId="6370BCC4">
            <w:pPr>
              <w:spacing w:before="40" w:after="40"/>
              <w:ind w:firstLine="0"/>
              <w:jc w:val="center"/>
            </w:pPr>
            <w:r>
              <w:rPr>
                <w:rFonts w:ascii="Calibri" w:hAnsi="Calibri" w:eastAsia="微软雅黑"/>
                <w:color w:val="5D6D7E"/>
                <w:sz w:val="20"/>
              </w:rPr>
              <w:t>+6.5%</w:t>
            </w:r>
          </w:p>
        </w:tc>
      </w:tr>
      <w:tr w14:paraId="658A8992">
        <w:tc>
          <w:tcPr>
            <w:tcW w:w="2500" w:type="dxa"/>
          </w:tcPr>
          <w:p w14:paraId="244F095B">
            <w:pPr>
              <w:spacing w:before="40" w:after="40"/>
              <w:ind w:firstLine="0"/>
              <w:jc w:val="center"/>
            </w:pPr>
            <w:r>
              <w:rPr>
                <w:rFonts w:ascii="Calibri" w:hAnsi="Calibri" w:eastAsia="微软雅黑"/>
                <w:color w:val="5D6D7E"/>
                <w:sz w:val="20"/>
              </w:rPr>
              <w:t>日均产量(t)</w:t>
            </w:r>
          </w:p>
        </w:tc>
        <w:tc>
          <w:tcPr>
            <w:tcW w:w="2500" w:type="dxa"/>
          </w:tcPr>
          <w:p w14:paraId="0B2B4BAB">
            <w:pPr>
              <w:spacing w:before="40" w:after="40"/>
              <w:ind w:firstLine="0"/>
              <w:jc w:val="center"/>
            </w:pPr>
            <w:r>
              <w:rPr>
                <w:rFonts w:ascii="Calibri" w:hAnsi="Calibri" w:eastAsia="微软雅黑"/>
                <w:color w:val="5D6D7E"/>
                <w:sz w:val="20"/>
              </w:rPr>
              <w:t>12,850</w:t>
            </w:r>
          </w:p>
        </w:tc>
        <w:tc>
          <w:tcPr>
            <w:tcW w:w="2500" w:type="dxa"/>
          </w:tcPr>
          <w:p w14:paraId="58E66917">
            <w:pPr>
              <w:spacing w:before="40" w:after="40"/>
              <w:ind w:firstLine="0"/>
              <w:jc w:val="center"/>
            </w:pPr>
            <w:r>
              <w:rPr>
                <w:rFonts w:ascii="Calibri" w:hAnsi="Calibri" w:eastAsia="微软雅黑"/>
                <w:color w:val="5D6D7E"/>
                <w:sz w:val="20"/>
              </w:rPr>
              <w:t>13,120</w:t>
            </w:r>
          </w:p>
        </w:tc>
        <w:tc>
          <w:tcPr>
            <w:tcW w:w="2500" w:type="dxa"/>
          </w:tcPr>
          <w:p w14:paraId="5C5FC907">
            <w:pPr>
              <w:spacing w:before="40" w:after="40"/>
              <w:ind w:firstLine="0"/>
              <w:jc w:val="center"/>
            </w:pPr>
            <w:r>
              <w:rPr>
                <w:rFonts w:ascii="Calibri" w:hAnsi="Calibri" w:eastAsia="微软雅黑"/>
                <w:color w:val="5D6D7E"/>
                <w:sz w:val="20"/>
              </w:rPr>
              <w:t>+2.1%</w:t>
            </w:r>
          </w:p>
        </w:tc>
      </w:tr>
    </w:tbl>
    <w:p w14:paraId="599C5D47">
      <w:pPr>
        <w:pStyle w:val="5"/>
      </w:pPr>
      <w:r>
        <w:t>表5：能耗优化前后指标对比</w:t>
      </w:r>
    </w:p>
    <w:p w14:paraId="2FAB7072">
      <w:pPr>
        <w:pStyle w:val="3"/>
      </w:pPr>
      <w:r>
        <w:t>5.3 设备健康管理场景</w:t>
      </w:r>
    </w:p>
    <w:p w14:paraId="4A076A54">
      <w:r>
        <w:t>某炼钢厂转炉耳轴轴承的振动监测数据显示，高频段能量值在两周内逐渐上升。平台设备健康模块识别出这一退化趋势，预测轴承剩余使用寿命约15天，建议安排 upcoming 定修窗口进行更换。维护团队按照平台建议执行更换后，拆解发现轴承滚珠已出现早期疲劳剥落。若未及时更换，预计在3-5天内将发展为严重故障，可能导致转炉非计划停机48小时以上，直接损失超过200万元。</w:t>
      </w:r>
    </w:p>
    <w:p w14:paraId="6A4966CE">
      <w:pPr>
        <w:keepNext/>
        <w:spacing w:before="200" w:after="80"/>
        <w:ind w:firstLine="0"/>
        <w:jc w:val="center"/>
      </w:pPr>
      <w:r>
        <w:drawing>
          <wp:inline distT="0" distB="0" distL="0" distR="0">
            <wp:extent cx="5399405" cy="3085465"/>
            <wp:effectExtent l="0" t="0" r="0" b="0"/>
            <wp:docPr id="9" name="移动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移动应用"/>
                    <pic:cNvPicPr>
                      <a:picLocks noChangeAspect="1"/>
                    </pic:cNvPicPr>
                  </pic:nvPicPr>
                  <pic:blipFill>
                    <a:blip r:embed="rId19"/>
                    <a:stretch>
                      <a:fillRect/>
                    </a:stretch>
                  </pic:blipFill>
                  <pic:spPr>
                    <a:xfrm>
                      <a:off x="0" y="0"/>
                      <a:ext cx="5400000" cy="3085714"/>
                    </a:xfrm>
                    <a:prstGeom prst="rect">
                      <a:avLst/>
                    </a:prstGeom>
                  </pic:spPr>
                </pic:pic>
              </a:graphicData>
            </a:graphic>
          </wp:inline>
        </w:drawing>
      </w:r>
    </w:p>
    <w:p w14:paraId="15FB0617">
      <w:pPr>
        <w:pStyle w:val="5"/>
      </w:pPr>
      <w:r>
        <w:t>图8：移动端轻量化监控应用</w:t>
      </w:r>
    </w:p>
    <w:p w14:paraId="764AEE85">
      <w:pPr>
        <w:pStyle w:val="2"/>
      </w:pPr>
      <w:r>
        <w:t>六、商业模式</w:t>
      </w:r>
      <w:bookmarkStart w:id="6" w:name="_Toc006"/>
      <w:bookmarkEnd w:id="6"/>
    </w:p>
    <w:p w14:paraId="17FC2B69">
      <w:pPr>
        <w:pStyle w:val="3"/>
      </w:pPr>
      <w:r>
        <w:t>6.1 市场分析</w:t>
      </w:r>
    </w:p>
    <w:p w14:paraId="13E0799B">
      <w:r>
        <w:t>中国工业互联网市场正处于高速发展阶段。根据中研普华产业研究院数据，2023年我国工业互联网市场规模达到1.35万亿元，预计到2025年将突破2万亿元。在细分领域，工业互联网平台及解决方案2022年规模26.3亿美元，2025年预计达56.1亿美元，年复合增长率29.6%。</w:t>
      </w:r>
    </w:p>
    <w:p w14:paraId="27ED47FC">
      <w:r>
        <w:t>在钢铁行业，数字化转型需求尤为迫切。根据工信部《钢铁行业智能制造标准体系建设指南》，到2025年将有超过80%的钢铁产能完成超低排放改造，数字化是达成这一目标的关键手段。全国约500家钢铁企业中，仍有超过60%的中小企业数字化水平处于"经验级"或"检验级"，市场空间巨大。</w:t>
      </w:r>
    </w:p>
    <w:p w14:paraId="646FA575">
      <w:r>
        <w:t>东北三省现有规模以上钢铁企业超过50家，其中辽宁省超过30家。按照每家企业平均投入200-500万元用于数字化改造估算，东北区域市场空间约1-2.5亿元。考虑到平台后续的续费、升级和增值服务，长期市场规模可达5亿元以上。</w:t>
      </w:r>
    </w:p>
    <w:p w14:paraId="265A602E">
      <w:r>
        <w:t>表6展示了平台目标市场的规模分析。</w:t>
      </w:r>
    </w:p>
    <w:tbl>
      <w:tblPr>
        <w:tblStyle w:val="11"/>
        <w:tblW w:w="5000" w:type="pct"/>
        <w:tblInd w:w="0" w:type="dxa"/>
        <w:tblBorders>
          <w:top w:val="single" w:color="2C3E50" w:sz="12" w:space="0"/>
          <w:left w:val="none" w:color="auto" w:sz="0" w:space="0"/>
          <w:bottom w:val="single" w:color="2C3E50" w:sz="12" w:space="0"/>
          <w:right w:val="none" w:color="auto" w:sz="0" w:space="0"/>
          <w:insideH w:val="single" w:color="BDC3C7" w:sz="4" w:space="0"/>
          <w:insideV w:val="none" w:color="auto" w:sz="0" w:space="0"/>
        </w:tblBorders>
        <w:tblLayout w:type="autofit"/>
        <w:tblCellMar>
          <w:top w:w="0" w:type="dxa"/>
          <w:left w:w="10" w:type="dxa"/>
          <w:bottom w:w="0" w:type="dxa"/>
          <w:right w:w="10" w:type="dxa"/>
        </w:tblCellMar>
      </w:tblPr>
      <w:tblGrid>
        <w:gridCol w:w="1796"/>
        <w:gridCol w:w="1799"/>
        <w:gridCol w:w="1811"/>
        <w:gridCol w:w="1818"/>
        <w:gridCol w:w="1822"/>
      </w:tblGrid>
      <w:tr w14:paraId="1D746C64">
        <w:trPr>
          <w:tblHeader/>
        </w:trPr>
        <w:tc>
          <w:tcPr>
            <w:tcW w:w="2000" w:type="dxa"/>
            <w:shd w:val="clear" w:color="auto" w:fill="EBF5FB"/>
          </w:tcPr>
          <w:p w14:paraId="272DD4FF">
            <w:pPr>
              <w:spacing w:before="40" w:after="40"/>
              <w:ind w:firstLine="0"/>
              <w:jc w:val="center"/>
            </w:pPr>
            <w:r>
              <w:rPr>
                <w:rFonts w:ascii="Calibri" w:hAnsi="Calibri" w:eastAsia="微软雅黑"/>
                <w:b/>
                <w:color w:val="1A252F"/>
                <w:sz w:val="20"/>
              </w:rPr>
              <w:t>区域</w:t>
            </w:r>
          </w:p>
        </w:tc>
        <w:tc>
          <w:tcPr>
            <w:tcW w:w="2000" w:type="dxa"/>
            <w:shd w:val="clear" w:color="auto" w:fill="EBF5FB"/>
          </w:tcPr>
          <w:p w14:paraId="0E6B0979">
            <w:pPr>
              <w:spacing w:before="40" w:after="40"/>
              <w:ind w:firstLine="0"/>
              <w:jc w:val="center"/>
            </w:pPr>
            <w:r>
              <w:rPr>
                <w:rFonts w:ascii="Calibri" w:hAnsi="Calibri" w:eastAsia="微软雅黑"/>
                <w:b/>
                <w:color w:val="1A252F"/>
                <w:sz w:val="20"/>
              </w:rPr>
              <w:t>目标企业数</w:t>
            </w:r>
          </w:p>
        </w:tc>
        <w:tc>
          <w:tcPr>
            <w:tcW w:w="2000" w:type="dxa"/>
            <w:shd w:val="clear" w:color="auto" w:fill="EBF5FB"/>
          </w:tcPr>
          <w:p w14:paraId="110E31E2">
            <w:pPr>
              <w:spacing w:before="40" w:after="40"/>
              <w:ind w:firstLine="0"/>
              <w:jc w:val="center"/>
            </w:pPr>
            <w:r>
              <w:rPr>
                <w:rFonts w:ascii="Calibri" w:hAnsi="Calibri" w:eastAsia="微软雅黑"/>
                <w:b/>
                <w:color w:val="1A252F"/>
                <w:sz w:val="20"/>
              </w:rPr>
              <w:t>单客价值(万元)</w:t>
            </w:r>
          </w:p>
        </w:tc>
        <w:tc>
          <w:tcPr>
            <w:tcW w:w="2000" w:type="dxa"/>
            <w:shd w:val="clear" w:color="auto" w:fill="EBF5FB"/>
          </w:tcPr>
          <w:p w14:paraId="5A0B3AFB">
            <w:pPr>
              <w:spacing w:before="40" w:after="40"/>
              <w:ind w:firstLine="0"/>
              <w:jc w:val="center"/>
            </w:pPr>
            <w:r>
              <w:rPr>
                <w:rFonts w:ascii="Calibri" w:hAnsi="Calibri" w:eastAsia="微软雅黑"/>
                <w:b/>
                <w:color w:val="1A252F"/>
                <w:sz w:val="20"/>
              </w:rPr>
              <w:t>市场容量(亿元)</w:t>
            </w:r>
          </w:p>
        </w:tc>
        <w:tc>
          <w:tcPr>
            <w:tcW w:w="2000" w:type="dxa"/>
            <w:shd w:val="clear" w:color="auto" w:fill="EBF5FB"/>
          </w:tcPr>
          <w:p w14:paraId="4AEB577B">
            <w:pPr>
              <w:spacing w:before="40" w:after="40"/>
              <w:ind w:firstLine="0"/>
              <w:jc w:val="center"/>
            </w:pPr>
            <w:r>
              <w:rPr>
                <w:rFonts w:ascii="Calibri" w:hAnsi="Calibri" w:eastAsia="微软雅黑"/>
                <w:b/>
                <w:color w:val="1A252F"/>
                <w:sz w:val="20"/>
              </w:rPr>
              <w:t>渗透率目标</w:t>
            </w:r>
          </w:p>
        </w:tc>
      </w:tr>
      <w:tr w14:paraId="10EC7ABD">
        <w:tc>
          <w:tcPr>
            <w:tcW w:w="2000" w:type="dxa"/>
          </w:tcPr>
          <w:p w14:paraId="4FC85F45">
            <w:pPr>
              <w:spacing w:before="40" w:after="40"/>
              <w:ind w:firstLine="0"/>
              <w:jc w:val="center"/>
            </w:pPr>
            <w:r>
              <w:rPr>
                <w:rFonts w:ascii="Calibri" w:hAnsi="Calibri" w:eastAsia="微软雅黑"/>
                <w:color w:val="5D6D7E"/>
                <w:sz w:val="20"/>
              </w:rPr>
              <w:t>辽宁省</w:t>
            </w:r>
          </w:p>
        </w:tc>
        <w:tc>
          <w:tcPr>
            <w:tcW w:w="2000" w:type="dxa"/>
          </w:tcPr>
          <w:p w14:paraId="3513F3D4">
            <w:pPr>
              <w:spacing w:before="40" w:after="40"/>
              <w:ind w:firstLine="0"/>
              <w:jc w:val="center"/>
            </w:pPr>
            <w:r>
              <w:rPr>
                <w:rFonts w:ascii="Calibri" w:hAnsi="Calibri" w:eastAsia="微软雅黑"/>
                <w:color w:val="5D6D7E"/>
                <w:sz w:val="20"/>
              </w:rPr>
              <w:t>30</w:t>
            </w:r>
          </w:p>
        </w:tc>
        <w:tc>
          <w:tcPr>
            <w:tcW w:w="2000" w:type="dxa"/>
          </w:tcPr>
          <w:p w14:paraId="4BB99816">
            <w:pPr>
              <w:spacing w:before="40" w:after="40"/>
              <w:ind w:firstLine="0"/>
              <w:jc w:val="center"/>
            </w:pPr>
            <w:r>
              <w:rPr>
                <w:rFonts w:ascii="Calibri" w:hAnsi="Calibri" w:eastAsia="微软雅黑"/>
                <w:color w:val="5D6D7E"/>
                <w:sz w:val="20"/>
              </w:rPr>
              <w:t>300</w:t>
            </w:r>
          </w:p>
        </w:tc>
        <w:tc>
          <w:tcPr>
            <w:tcW w:w="2000" w:type="dxa"/>
          </w:tcPr>
          <w:p w14:paraId="6B55B696">
            <w:pPr>
              <w:spacing w:before="40" w:after="40"/>
              <w:ind w:firstLine="0"/>
              <w:jc w:val="center"/>
            </w:pPr>
            <w:r>
              <w:rPr>
                <w:rFonts w:ascii="Calibri" w:hAnsi="Calibri" w:eastAsia="微软雅黑"/>
                <w:color w:val="5D6D7E"/>
                <w:sz w:val="20"/>
              </w:rPr>
              <w:t>0.9</w:t>
            </w:r>
          </w:p>
        </w:tc>
        <w:tc>
          <w:tcPr>
            <w:tcW w:w="2000" w:type="dxa"/>
          </w:tcPr>
          <w:p w14:paraId="4D9B8120">
            <w:pPr>
              <w:spacing w:before="40" w:after="40"/>
              <w:ind w:firstLine="0"/>
              <w:jc w:val="center"/>
            </w:pPr>
            <w:r>
              <w:rPr>
                <w:rFonts w:ascii="Calibri" w:hAnsi="Calibri" w:eastAsia="微软雅黑"/>
                <w:color w:val="5D6D7E"/>
                <w:sz w:val="20"/>
              </w:rPr>
              <w:t>15%</w:t>
            </w:r>
          </w:p>
        </w:tc>
      </w:tr>
      <w:tr w14:paraId="6C42AEF4">
        <w:tc>
          <w:tcPr>
            <w:tcW w:w="2000" w:type="dxa"/>
          </w:tcPr>
          <w:p w14:paraId="32503FF9">
            <w:pPr>
              <w:spacing w:before="40" w:after="40"/>
              <w:ind w:firstLine="0"/>
              <w:jc w:val="center"/>
            </w:pPr>
            <w:r>
              <w:rPr>
                <w:rFonts w:ascii="Calibri" w:hAnsi="Calibri" w:eastAsia="微软雅黑"/>
                <w:color w:val="5D6D7E"/>
                <w:sz w:val="20"/>
              </w:rPr>
              <w:t>吉林省</w:t>
            </w:r>
          </w:p>
        </w:tc>
        <w:tc>
          <w:tcPr>
            <w:tcW w:w="2000" w:type="dxa"/>
          </w:tcPr>
          <w:p w14:paraId="40623BD1">
            <w:pPr>
              <w:spacing w:before="40" w:after="40"/>
              <w:ind w:firstLine="0"/>
              <w:jc w:val="center"/>
            </w:pPr>
            <w:r>
              <w:rPr>
                <w:rFonts w:ascii="Calibri" w:hAnsi="Calibri" w:eastAsia="微软雅黑"/>
                <w:color w:val="5D6D7E"/>
                <w:sz w:val="20"/>
              </w:rPr>
              <w:t>12</w:t>
            </w:r>
          </w:p>
        </w:tc>
        <w:tc>
          <w:tcPr>
            <w:tcW w:w="2000" w:type="dxa"/>
          </w:tcPr>
          <w:p w14:paraId="69B300D5">
            <w:pPr>
              <w:spacing w:before="40" w:after="40"/>
              <w:ind w:firstLine="0"/>
              <w:jc w:val="center"/>
            </w:pPr>
            <w:r>
              <w:rPr>
                <w:rFonts w:ascii="Calibri" w:hAnsi="Calibri" w:eastAsia="微软雅黑"/>
                <w:color w:val="5D6D7E"/>
                <w:sz w:val="20"/>
              </w:rPr>
              <w:t>250</w:t>
            </w:r>
          </w:p>
        </w:tc>
        <w:tc>
          <w:tcPr>
            <w:tcW w:w="2000" w:type="dxa"/>
          </w:tcPr>
          <w:p w14:paraId="61337473">
            <w:pPr>
              <w:spacing w:before="40" w:after="40"/>
              <w:ind w:firstLine="0"/>
              <w:jc w:val="center"/>
            </w:pPr>
            <w:r>
              <w:rPr>
                <w:rFonts w:ascii="Calibri" w:hAnsi="Calibri" w:eastAsia="微软雅黑"/>
                <w:color w:val="5D6D7E"/>
                <w:sz w:val="20"/>
              </w:rPr>
              <w:t>0.3</w:t>
            </w:r>
          </w:p>
        </w:tc>
        <w:tc>
          <w:tcPr>
            <w:tcW w:w="2000" w:type="dxa"/>
          </w:tcPr>
          <w:p w14:paraId="61F6C573">
            <w:pPr>
              <w:spacing w:before="40" w:after="40"/>
              <w:ind w:firstLine="0"/>
              <w:jc w:val="center"/>
            </w:pPr>
            <w:r>
              <w:rPr>
                <w:rFonts w:ascii="Calibri" w:hAnsi="Calibri" w:eastAsia="微软雅黑"/>
                <w:color w:val="5D6D7E"/>
                <w:sz w:val="20"/>
              </w:rPr>
              <w:t>12%</w:t>
            </w:r>
          </w:p>
        </w:tc>
      </w:tr>
      <w:tr w14:paraId="2038DF0A">
        <w:tc>
          <w:tcPr>
            <w:tcW w:w="2000" w:type="dxa"/>
          </w:tcPr>
          <w:p w14:paraId="2997EEC7">
            <w:pPr>
              <w:spacing w:before="40" w:after="40"/>
              <w:ind w:firstLine="0"/>
              <w:jc w:val="center"/>
            </w:pPr>
            <w:r>
              <w:rPr>
                <w:rFonts w:ascii="Calibri" w:hAnsi="Calibri" w:eastAsia="微软雅黑"/>
                <w:color w:val="5D6D7E"/>
                <w:sz w:val="20"/>
              </w:rPr>
              <w:t>黑龙江省</w:t>
            </w:r>
          </w:p>
        </w:tc>
        <w:tc>
          <w:tcPr>
            <w:tcW w:w="2000" w:type="dxa"/>
          </w:tcPr>
          <w:p w14:paraId="16A6AE66">
            <w:pPr>
              <w:spacing w:before="40" w:after="40"/>
              <w:ind w:firstLine="0"/>
              <w:jc w:val="center"/>
            </w:pPr>
            <w:r>
              <w:rPr>
                <w:rFonts w:ascii="Calibri" w:hAnsi="Calibri" w:eastAsia="微软雅黑"/>
                <w:color w:val="5D6D7E"/>
                <w:sz w:val="20"/>
              </w:rPr>
              <w:t>10</w:t>
            </w:r>
          </w:p>
        </w:tc>
        <w:tc>
          <w:tcPr>
            <w:tcW w:w="2000" w:type="dxa"/>
          </w:tcPr>
          <w:p w14:paraId="179242CE">
            <w:pPr>
              <w:spacing w:before="40" w:after="40"/>
              <w:ind w:firstLine="0"/>
              <w:jc w:val="center"/>
            </w:pPr>
            <w:r>
              <w:rPr>
                <w:rFonts w:ascii="Calibri" w:hAnsi="Calibri" w:eastAsia="微软雅黑"/>
                <w:color w:val="5D6D7E"/>
                <w:sz w:val="20"/>
              </w:rPr>
              <w:t>220</w:t>
            </w:r>
          </w:p>
        </w:tc>
        <w:tc>
          <w:tcPr>
            <w:tcW w:w="2000" w:type="dxa"/>
          </w:tcPr>
          <w:p w14:paraId="44F8EAE2">
            <w:pPr>
              <w:spacing w:before="40" w:after="40"/>
              <w:ind w:firstLine="0"/>
              <w:jc w:val="center"/>
            </w:pPr>
            <w:r>
              <w:rPr>
                <w:rFonts w:ascii="Calibri" w:hAnsi="Calibri" w:eastAsia="微软雅黑"/>
                <w:color w:val="5D6D7E"/>
                <w:sz w:val="20"/>
              </w:rPr>
              <w:t>0.22</w:t>
            </w:r>
          </w:p>
        </w:tc>
        <w:tc>
          <w:tcPr>
            <w:tcW w:w="2000" w:type="dxa"/>
          </w:tcPr>
          <w:p w14:paraId="641101BF">
            <w:pPr>
              <w:spacing w:before="40" w:after="40"/>
              <w:ind w:firstLine="0"/>
              <w:jc w:val="center"/>
            </w:pPr>
            <w:r>
              <w:rPr>
                <w:rFonts w:ascii="Calibri" w:hAnsi="Calibri" w:eastAsia="微软雅黑"/>
                <w:color w:val="5D6D7E"/>
                <w:sz w:val="20"/>
              </w:rPr>
              <w:t>10%</w:t>
            </w:r>
          </w:p>
        </w:tc>
      </w:tr>
      <w:tr w14:paraId="5FA29806">
        <w:tc>
          <w:tcPr>
            <w:tcW w:w="2000" w:type="dxa"/>
          </w:tcPr>
          <w:p w14:paraId="1DF0DBCB">
            <w:pPr>
              <w:spacing w:before="40" w:after="40"/>
              <w:ind w:firstLine="0"/>
              <w:jc w:val="center"/>
            </w:pPr>
            <w:r>
              <w:rPr>
                <w:rFonts w:ascii="Calibri" w:hAnsi="Calibri" w:eastAsia="微软雅黑"/>
                <w:color w:val="5D6D7E"/>
                <w:sz w:val="20"/>
              </w:rPr>
              <w:t>内蒙古东</w:t>
            </w:r>
          </w:p>
        </w:tc>
        <w:tc>
          <w:tcPr>
            <w:tcW w:w="2000" w:type="dxa"/>
          </w:tcPr>
          <w:p w14:paraId="7B8F68E6">
            <w:pPr>
              <w:spacing w:before="40" w:after="40"/>
              <w:ind w:firstLine="0"/>
              <w:jc w:val="center"/>
            </w:pPr>
            <w:r>
              <w:rPr>
                <w:rFonts w:ascii="Calibri" w:hAnsi="Calibri" w:eastAsia="微软雅黑"/>
                <w:color w:val="5D6D7E"/>
                <w:sz w:val="20"/>
              </w:rPr>
              <w:t>8</w:t>
            </w:r>
          </w:p>
        </w:tc>
        <w:tc>
          <w:tcPr>
            <w:tcW w:w="2000" w:type="dxa"/>
          </w:tcPr>
          <w:p w14:paraId="616DD114">
            <w:pPr>
              <w:spacing w:before="40" w:after="40"/>
              <w:ind w:firstLine="0"/>
              <w:jc w:val="center"/>
            </w:pPr>
            <w:r>
              <w:rPr>
                <w:rFonts w:ascii="Calibri" w:hAnsi="Calibri" w:eastAsia="微软雅黑"/>
                <w:color w:val="5D6D7E"/>
                <w:sz w:val="20"/>
              </w:rPr>
              <w:t>280</w:t>
            </w:r>
          </w:p>
        </w:tc>
        <w:tc>
          <w:tcPr>
            <w:tcW w:w="2000" w:type="dxa"/>
          </w:tcPr>
          <w:p w14:paraId="604567F0">
            <w:pPr>
              <w:spacing w:before="40" w:after="40"/>
              <w:ind w:firstLine="0"/>
              <w:jc w:val="center"/>
            </w:pPr>
            <w:r>
              <w:rPr>
                <w:rFonts w:ascii="Calibri" w:hAnsi="Calibri" w:eastAsia="微软雅黑"/>
                <w:color w:val="5D6D7E"/>
                <w:sz w:val="20"/>
              </w:rPr>
              <w:t>0.22</w:t>
            </w:r>
          </w:p>
        </w:tc>
        <w:tc>
          <w:tcPr>
            <w:tcW w:w="2000" w:type="dxa"/>
          </w:tcPr>
          <w:p w14:paraId="6FD34EB1">
            <w:pPr>
              <w:spacing w:before="40" w:after="40"/>
              <w:ind w:firstLine="0"/>
              <w:jc w:val="center"/>
            </w:pPr>
            <w:r>
              <w:rPr>
                <w:rFonts w:ascii="Calibri" w:hAnsi="Calibri" w:eastAsia="微软雅黑"/>
                <w:color w:val="5D6D7E"/>
                <w:sz w:val="20"/>
              </w:rPr>
              <w:t>12%</w:t>
            </w:r>
          </w:p>
        </w:tc>
      </w:tr>
      <w:tr w14:paraId="3FAD94A0">
        <w:tc>
          <w:tcPr>
            <w:tcW w:w="2000" w:type="dxa"/>
          </w:tcPr>
          <w:p w14:paraId="4EF43594">
            <w:pPr>
              <w:spacing w:before="40" w:after="40"/>
              <w:ind w:firstLine="0"/>
              <w:jc w:val="center"/>
            </w:pPr>
            <w:r>
              <w:rPr>
                <w:rFonts w:ascii="Calibri" w:hAnsi="Calibri" w:eastAsia="微软雅黑"/>
                <w:color w:val="5D6D7E"/>
                <w:sz w:val="20"/>
              </w:rPr>
              <w:t>合计</w:t>
            </w:r>
          </w:p>
        </w:tc>
        <w:tc>
          <w:tcPr>
            <w:tcW w:w="2000" w:type="dxa"/>
          </w:tcPr>
          <w:p w14:paraId="4969FEF2">
            <w:pPr>
              <w:spacing w:before="40" w:after="40"/>
              <w:ind w:firstLine="0"/>
              <w:jc w:val="center"/>
            </w:pPr>
            <w:r>
              <w:rPr>
                <w:rFonts w:ascii="Calibri" w:hAnsi="Calibri" w:eastAsia="微软雅黑"/>
                <w:color w:val="5D6D7E"/>
                <w:sz w:val="20"/>
              </w:rPr>
              <w:t>60</w:t>
            </w:r>
          </w:p>
        </w:tc>
        <w:tc>
          <w:tcPr>
            <w:tcW w:w="2000" w:type="dxa"/>
          </w:tcPr>
          <w:p w14:paraId="301681B9">
            <w:pPr>
              <w:spacing w:before="40" w:after="40"/>
              <w:ind w:firstLine="0"/>
              <w:jc w:val="center"/>
            </w:pPr>
            <w:r>
              <w:rPr>
                <w:rFonts w:ascii="Calibri" w:hAnsi="Calibri" w:eastAsia="微软雅黑"/>
                <w:color w:val="5D6D7E"/>
                <w:sz w:val="20"/>
              </w:rPr>
              <w:t>-</w:t>
            </w:r>
          </w:p>
        </w:tc>
        <w:tc>
          <w:tcPr>
            <w:tcW w:w="2000" w:type="dxa"/>
          </w:tcPr>
          <w:p w14:paraId="65C473A4">
            <w:pPr>
              <w:spacing w:before="40" w:after="40"/>
              <w:ind w:firstLine="0"/>
              <w:jc w:val="center"/>
            </w:pPr>
            <w:r>
              <w:rPr>
                <w:rFonts w:ascii="Calibri" w:hAnsi="Calibri" w:eastAsia="微软雅黑"/>
                <w:color w:val="5D6D7E"/>
                <w:sz w:val="20"/>
              </w:rPr>
              <w:t>1.64</w:t>
            </w:r>
          </w:p>
        </w:tc>
        <w:tc>
          <w:tcPr>
            <w:tcW w:w="2000" w:type="dxa"/>
          </w:tcPr>
          <w:p w14:paraId="339928DD">
            <w:pPr>
              <w:spacing w:before="40" w:after="40"/>
              <w:ind w:firstLine="0"/>
              <w:jc w:val="center"/>
            </w:pPr>
            <w:r>
              <w:rPr>
                <w:rFonts w:ascii="Calibri" w:hAnsi="Calibri" w:eastAsia="微软雅黑"/>
                <w:color w:val="5D6D7E"/>
                <w:sz w:val="20"/>
              </w:rPr>
              <w:t>-</w:t>
            </w:r>
          </w:p>
        </w:tc>
      </w:tr>
    </w:tbl>
    <w:p w14:paraId="4A7C5FB9">
      <w:pPr>
        <w:pStyle w:val="5"/>
      </w:pPr>
      <w:r>
        <w:t>表6：目标市场规模分析</w:t>
      </w:r>
    </w:p>
    <w:p w14:paraId="3D63CEE0">
      <w:pPr>
        <w:pStyle w:val="3"/>
      </w:pPr>
      <w:r>
        <w:t>6.2 盈利模式</w:t>
      </w:r>
    </w:p>
    <w:p w14:paraId="4D27A424">
      <w:r>
        <w:t>平台采用"SaaS订阅+私有化部署+增值服务"的组合盈利模式，灵活适配不同规模和数字化水平的客户需求。</w:t>
      </w:r>
    </w:p>
    <w:p w14:paraId="75828DE5">
      <w:pPr>
        <w:numPr>
          <w:ilvl w:val="0"/>
          <w:numId w:val="1"/>
        </w:numPr>
        <w:ind w:firstLine="0"/>
      </w:pPr>
      <w:r>
        <w:rPr>
          <w:b/>
        </w:rPr>
        <w:t>SaaS订阅模式——</w:t>
      </w:r>
      <w:r>
        <w:t>面向中小型企业，提供标准化的云端服务。按功能模块和接入设备数量收费，月费5000-20000元。客户无需投入硬件和运维成本，可快速上线使用。</w:t>
      </w:r>
    </w:p>
    <w:p w14:paraId="6E050CC9">
      <w:pPr>
        <w:numPr>
          <w:ilvl w:val="0"/>
          <w:numId w:val="1"/>
        </w:numPr>
        <w:ind w:firstLine="0"/>
      </w:pPr>
      <w:r>
        <w:rPr>
          <w:b/>
        </w:rPr>
        <w:t>私有化部署模式——</w:t>
      </w:r>
      <w:r>
        <w:t>面向大型企业和集团客户，提供本地部署的定制化解决方案。项目制收费，单项目金额50-300万元，包含系统集成、定制开发、培训实施等服务。</w:t>
      </w:r>
    </w:p>
    <w:p w14:paraId="0E46AA03">
      <w:pPr>
        <w:numPr>
          <w:ilvl w:val="0"/>
          <w:numId w:val="1"/>
        </w:numPr>
        <w:ind w:firstLine="0"/>
      </w:pPr>
      <w:r>
        <w:rPr>
          <w:b/>
        </w:rPr>
        <w:t>增值服务——</w:t>
      </w:r>
      <w:r>
        <w:t>包括数据分析咨询、算法模型定制、系统运维支持、技术培训等。按服务内容和人天收费，作为订阅和部署收入的重要补充。</w:t>
      </w:r>
    </w:p>
    <w:p w14:paraId="545B7E30">
      <w:r>
        <w:t>表7详细说明了平台的收费标准。</w:t>
      </w:r>
    </w:p>
    <w:tbl>
      <w:tblPr>
        <w:tblStyle w:val="11"/>
        <w:tblW w:w="5000" w:type="pct"/>
        <w:tblInd w:w="0" w:type="dxa"/>
        <w:tblBorders>
          <w:top w:val="single" w:color="2C3E50" w:sz="12" w:space="0"/>
          <w:left w:val="none" w:color="auto" w:sz="0" w:space="0"/>
          <w:bottom w:val="single" w:color="2C3E50" w:sz="12" w:space="0"/>
          <w:right w:val="none" w:color="auto" w:sz="0" w:space="0"/>
          <w:insideH w:val="single" w:color="BDC3C7" w:sz="4" w:space="0"/>
          <w:insideV w:val="none" w:color="auto" w:sz="0" w:space="0"/>
        </w:tblBorders>
        <w:tblLayout w:type="autofit"/>
        <w:tblCellMar>
          <w:top w:w="0" w:type="dxa"/>
          <w:left w:w="10" w:type="dxa"/>
          <w:bottom w:w="0" w:type="dxa"/>
          <w:right w:w="10" w:type="dxa"/>
        </w:tblCellMar>
      </w:tblPr>
      <w:tblGrid>
        <w:gridCol w:w="1828"/>
        <w:gridCol w:w="2240"/>
        <w:gridCol w:w="2240"/>
        <w:gridCol w:w="2738"/>
      </w:tblGrid>
      <w:tr w14:paraId="46DC91E0">
        <w:trPr>
          <w:tblHeader/>
        </w:trPr>
        <w:tc>
          <w:tcPr>
            <w:tcW w:w="2000" w:type="dxa"/>
            <w:shd w:val="clear" w:color="auto" w:fill="EBF5FB"/>
          </w:tcPr>
          <w:p w14:paraId="5F900FD3">
            <w:pPr>
              <w:spacing w:before="40" w:after="40"/>
              <w:ind w:firstLine="0"/>
              <w:jc w:val="center"/>
            </w:pPr>
            <w:r>
              <w:rPr>
                <w:rFonts w:ascii="Calibri" w:hAnsi="Calibri" w:eastAsia="微软雅黑"/>
                <w:b/>
                <w:color w:val="1A252F"/>
                <w:sz w:val="20"/>
              </w:rPr>
              <w:t>服务模式</w:t>
            </w:r>
          </w:p>
        </w:tc>
        <w:tc>
          <w:tcPr>
            <w:tcW w:w="2500" w:type="dxa"/>
            <w:shd w:val="clear" w:color="auto" w:fill="EBF5FB"/>
          </w:tcPr>
          <w:p w14:paraId="564A5348">
            <w:pPr>
              <w:spacing w:before="40" w:after="40"/>
              <w:ind w:firstLine="0"/>
              <w:jc w:val="center"/>
            </w:pPr>
            <w:r>
              <w:rPr>
                <w:rFonts w:ascii="Calibri" w:hAnsi="Calibri" w:eastAsia="微软雅黑"/>
                <w:b/>
                <w:color w:val="1A252F"/>
                <w:sz w:val="20"/>
              </w:rPr>
              <w:t>适用客户</w:t>
            </w:r>
          </w:p>
        </w:tc>
        <w:tc>
          <w:tcPr>
            <w:tcW w:w="2500" w:type="dxa"/>
            <w:shd w:val="clear" w:color="auto" w:fill="EBF5FB"/>
          </w:tcPr>
          <w:p w14:paraId="2A3ACDB9">
            <w:pPr>
              <w:spacing w:before="40" w:after="40"/>
              <w:ind w:firstLine="0"/>
              <w:jc w:val="center"/>
            </w:pPr>
            <w:r>
              <w:rPr>
                <w:rFonts w:ascii="Calibri" w:hAnsi="Calibri" w:eastAsia="微软雅黑"/>
                <w:b/>
                <w:color w:val="1A252F"/>
                <w:sz w:val="20"/>
              </w:rPr>
              <w:t>收费方式</w:t>
            </w:r>
          </w:p>
        </w:tc>
        <w:tc>
          <w:tcPr>
            <w:tcW w:w="3000" w:type="dxa"/>
            <w:shd w:val="clear" w:color="auto" w:fill="EBF5FB"/>
          </w:tcPr>
          <w:p w14:paraId="1B041463">
            <w:pPr>
              <w:spacing w:before="40" w:after="40"/>
              <w:ind w:firstLine="0"/>
              <w:jc w:val="center"/>
            </w:pPr>
            <w:r>
              <w:rPr>
                <w:rFonts w:ascii="Calibri" w:hAnsi="Calibri" w:eastAsia="微软雅黑"/>
                <w:b/>
                <w:color w:val="1A252F"/>
                <w:sz w:val="20"/>
              </w:rPr>
              <w:t>价格区间</w:t>
            </w:r>
          </w:p>
        </w:tc>
      </w:tr>
      <w:tr w14:paraId="74C8DF9C">
        <w:tc>
          <w:tcPr>
            <w:tcW w:w="2000" w:type="dxa"/>
          </w:tcPr>
          <w:p w14:paraId="20E4676E">
            <w:pPr>
              <w:spacing w:before="40" w:after="40"/>
              <w:ind w:firstLine="0"/>
              <w:jc w:val="center"/>
            </w:pPr>
            <w:r>
              <w:rPr>
                <w:rFonts w:ascii="Calibri" w:hAnsi="Calibri" w:eastAsia="微软雅黑"/>
                <w:color w:val="5D6D7E"/>
                <w:sz w:val="20"/>
              </w:rPr>
              <w:t>基础版SaaS</w:t>
            </w:r>
          </w:p>
        </w:tc>
        <w:tc>
          <w:tcPr>
            <w:tcW w:w="2500" w:type="dxa"/>
          </w:tcPr>
          <w:p w14:paraId="5F915199">
            <w:pPr>
              <w:spacing w:before="40" w:after="40"/>
              <w:ind w:firstLine="0"/>
              <w:jc w:val="center"/>
            </w:pPr>
            <w:r>
              <w:rPr>
                <w:rFonts w:ascii="Calibri" w:hAnsi="Calibri" w:eastAsia="微软雅黑"/>
                <w:color w:val="5D6D7E"/>
                <w:sz w:val="20"/>
              </w:rPr>
              <w:t>小型企业</w:t>
            </w:r>
          </w:p>
        </w:tc>
        <w:tc>
          <w:tcPr>
            <w:tcW w:w="2500" w:type="dxa"/>
          </w:tcPr>
          <w:p w14:paraId="66A93FE6">
            <w:pPr>
              <w:spacing w:before="40" w:after="40"/>
              <w:ind w:firstLine="0"/>
              <w:jc w:val="center"/>
            </w:pPr>
            <w:r>
              <w:rPr>
                <w:rFonts w:ascii="Calibri" w:hAnsi="Calibri" w:eastAsia="微软雅黑"/>
                <w:color w:val="5D6D7E"/>
                <w:sz w:val="20"/>
              </w:rPr>
              <w:t>月订阅费</w:t>
            </w:r>
          </w:p>
        </w:tc>
        <w:tc>
          <w:tcPr>
            <w:tcW w:w="3000" w:type="dxa"/>
          </w:tcPr>
          <w:p w14:paraId="65FF898A">
            <w:pPr>
              <w:spacing w:before="40" w:after="40"/>
              <w:ind w:firstLine="0"/>
              <w:jc w:val="center"/>
            </w:pPr>
            <w:r>
              <w:rPr>
                <w:rFonts w:ascii="Calibri" w:hAnsi="Calibri" w:eastAsia="微软雅黑"/>
                <w:color w:val="5D6D7E"/>
                <w:sz w:val="20"/>
              </w:rPr>
              <w:t>5,000-8,000元/月</w:t>
            </w:r>
          </w:p>
        </w:tc>
      </w:tr>
      <w:tr w14:paraId="58E729DA">
        <w:tc>
          <w:tcPr>
            <w:tcW w:w="2000" w:type="dxa"/>
          </w:tcPr>
          <w:p w14:paraId="70EF4735">
            <w:pPr>
              <w:spacing w:before="40" w:after="40"/>
              <w:ind w:firstLine="0"/>
              <w:jc w:val="center"/>
            </w:pPr>
            <w:r>
              <w:rPr>
                <w:rFonts w:ascii="Calibri" w:hAnsi="Calibri" w:eastAsia="微软雅黑"/>
                <w:color w:val="5D6D7E"/>
                <w:sz w:val="20"/>
              </w:rPr>
              <w:t>专业版SaaS</w:t>
            </w:r>
          </w:p>
        </w:tc>
        <w:tc>
          <w:tcPr>
            <w:tcW w:w="2500" w:type="dxa"/>
          </w:tcPr>
          <w:p w14:paraId="48672D13">
            <w:pPr>
              <w:spacing w:before="40" w:after="40"/>
              <w:ind w:firstLine="0"/>
              <w:jc w:val="center"/>
            </w:pPr>
            <w:r>
              <w:rPr>
                <w:rFonts w:ascii="Calibri" w:hAnsi="Calibri" w:eastAsia="微软雅黑"/>
                <w:color w:val="5D6D7E"/>
                <w:sz w:val="20"/>
              </w:rPr>
              <w:t>中型企业</w:t>
            </w:r>
          </w:p>
        </w:tc>
        <w:tc>
          <w:tcPr>
            <w:tcW w:w="2500" w:type="dxa"/>
          </w:tcPr>
          <w:p w14:paraId="476888FA">
            <w:pPr>
              <w:spacing w:before="40" w:after="40"/>
              <w:ind w:firstLine="0"/>
              <w:jc w:val="center"/>
            </w:pPr>
            <w:r>
              <w:rPr>
                <w:rFonts w:ascii="Calibri" w:hAnsi="Calibri" w:eastAsia="微软雅黑"/>
                <w:color w:val="5D6D7E"/>
                <w:sz w:val="20"/>
              </w:rPr>
              <w:t>月订阅费</w:t>
            </w:r>
          </w:p>
        </w:tc>
        <w:tc>
          <w:tcPr>
            <w:tcW w:w="3000" w:type="dxa"/>
          </w:tcPr>
          <w:p w14:paraId="32174974">
            <w:pPr>
              <w:spacing w:before="40" w:after="40"/>
              <w:ind w:firstLine="0"/>
              <w:jc w:val="center"/>
            </w:pPr>
            <w:r>
              <w:rPr>
                <w:rFonts w:ascii="Calibri" w:hAnsi="Calibri" w:eastAsia="微软雅黑"/>
                <w:color w:val="5D6D7E"/>
                <w:sz w:val="20"/>
              </w:rPr>
              <w:t>10,000-20,000元/月</w:t>
            </w:r>
          </w:p>
        </w:tc>
      </w:tr>
      <w:tr w14:paraId="562CBFB4">
        <w:tc>
          <w:tcPr>
            <w:tcW w:w="2000" w:type="dxa"/>
          </w:tcPr>
          <w:p w14:paraId="0E2E5D89">
            <w:pPr>
              <w:spacing w:before="40" w:after="40"/>
              <w:ind w:firstLine="0"/>
              <w:jc w:val="center"/>
            </w:pPr>
            <w:r>
              <w:rPr>
                <w:rFonts w:ascii="Calibri" w:hAnsi="Calibri" w:eastAsia="微软雅黑"/>
                <w:color w:val="5D6D7E"/>
                <w:sz w:val="20"/>
              </w:rPr>
              <w:t>企业版私有</w:t>
            </w:r>
          </w:p>
        </w:tc>
        <w:tc>
          <w:tcPr>
            <w:tcW w:w="2500" w:type="dxa"/>
          </w:tcPr>
          <w:p w14:paraId="61B25E3C">
            <w:pPr>
              <w:spacing w:before="40" w:after="40"/>
              <w:ind w:firstLine="0"/>
              <w:jc w:val="center"/>
            </w:pPr>
            <w:r>
              <w:rPr>
                <w:rFonts w:ascii="Calibri" w:hAnsi="Calibri" w:eastAsia="微软雅黑"/>
                <w:color w:val="5D6D7E"/>
                <w:sz w:val="20"/>
              </w:rPr>
              <w:t>大型企业</w:t>
            </w:r>
          </w:p>
        </w:tc>
        <w:tc>
          <w:tcPr>
            <w:tcW w:w="2500" w:type="dxa"/>
          </w:tcPr>
          <w:p w14:paraId="4AB7E508">
            <w:pPr>
              <w:spacing w:before="40" w:after="40"/>
              <w:ind w:firstLine="0"/>
              <w:jc w:val="center"/>
            </w:pPr>
            <w:r>
              <w:rPr>
                <w:rFonts w:ascii="Calibri" w:hAnsi="Calibri" w:eastAsia="微软雅黑"/>
                <w:color w:val="5D6D7E"/>
                <w:sz w:val="20"/>
              </w:rPr>
              <w:t>项目制</w:t>
            </w:r>
          </w:p>
        </w:tc>
        <w:tc>
          <w:tcPr>
            <w:tcW w:w="3000" w:type="dxa"/>
          </w:tcPr>
          <w:p w14:paraId="0886EBF4">
            <w:pPr>
              <w:spacing w:before="40" w:after="40"/>
              <w:ind w:firstLine="0"/>
              <w:jc w:val="center"/>
            </w:pPr>
            <w:r>
              <w:rPr>
                <w:rFonts w:ascii="Calibri" w:hAnsi="Calibri" w:eastAsia="微软雅黑"/>
                <w:color w:val="5D6D7E"/>
                <w:sz w:val="20"/>
              </w:rPr>
              <w:t>50-150万元</w:t>
            </w:r>
          </w:p>
        </w:tc>
      </w:tr>
      <w:tr w14:paraId="7E10FDAE">
        <w:tc>
          <w:tcPr>
            <w:tcW w:w="2000" w:type="dxa"/>
          </w:tcPr>
          <w:p w14:paraId="1108FF42">
            <w:pPr>
              <w:spacing w:before="40" w:after="40"/>
              <w:ind w:firstLine="0"/>
              <w:jc w:val="center"/>
            </w:pPr>
            <w:r>
              <w:rPr>
                <w:rFonts w:ascii="Calibri" w:hAnsi="Calibri" w:eastAsia="微软雅黑"/>
                <w:color w:val="5D6D7E"/>
                <w:sz w:val="20"/>
              </w:rPr>
              <w:t>集团版私有</w:t>
            </w:r>
          </w:p>
        </w:tc>
        <w:tc>
          <w:tcPr>
            <w:tcW w:w="2500" w:type="dxa"/>
          </w:tcPr>
          <w:p w14:paraId="721C80C8">
            <w:pPr>
              <w:spacing w:before="40" w:after="40"/>
              <w:ind w:firstLine="0"/>
              <w:jc w:val="center"/>
            </w:pPr>
            <w:r>
              <w:rPr>
                <w:rFonts w:ascii="Calibri" w:hAnsi="Calibri" w:eastAsia="微软雅黑"/>
                <w:color w:val="5D6D7E"/>
                <w:sz w:val="20"/>
              </w:rPr>
              <w:t>钢铁集团</w:t>
            </w:r>
          </w:p>
        </w:tc>
        <w:tc>
          <w:tcPr>
            <w:tcW w:w="2500" w:type="dxa"/>
          </w:tcPr>
          <w:p w14:paraId="39E69D86">
            <w:pPr>
              <w:spacing w:before="40" w:after="40"/>
              <w:ind w:firstLine="0"/>
              <w:jc w:val="center"/>
            </w:pPr>
            <w:r>
              <w:rPr>
                <w:rFonts w:ascii="Calibri" w:hAnsi="Calibri" w:eastAsia="微软雅黑"/>
                <w:color w:val="5D6D7E"/>
                <w:sz w:val="20"/>
              </w:rPr>
              <w:t>项目制</w:t>
            </w:r>
          </w:p>
        </w:tc>
        <w:tc>
          <w:tcPr>
            <w:tcW w:w="3000" w:type="dxa"/>
          </w:tcPr>
          <w:p w14:paraId="4BC3072C">
            <w:pPr>
              <w:spacing w:before="40" w:after="40"/>
              <w:ind w:firstLine="0"/>
              <w:jc w:val="center"/>
            </w:pPr>
            <w:r>
              <w:rPr>
                <w:rFonts w:ascii="Calibri" w:hAnsi="Calibri" w:eastAsia="微软雅黑"/>
                <w:color w:val="5D6D7E"/>
                <w:sz w:val="20"/>
              </w:rPr>
              <w:t>150-300万元</w:t>
            </w:r>
          </w:p>
        </w:tc>
      </w:tr>
      <w:tr w14:paraId="4E0552EE">
        <w:tc>
          <w:tcPr>
            <w:tcW w:w="2000" w:type="dxa"/>
          </w:tcPr>
          <w:p w14:paraId="09091827">
            <w:pPr>
              <w:spacing w:before="40" w:after="40"/>
              <w:ind w:firstLine="0"/>
              <w:jc w:val="center"/>
            </w:pPr>
            <w:r>
              <w:rPr>
                <w:rFonts w:ascii="Calibri" w:hAnsi="Calibri" w:eastAsia="微软雅黑"/>
                <w:color w:val="5D6D7E"/>
                <w:sz w:val="20"/>
              </w:rPr>
              <w:t>咨询服务</w:t>
            </w:r>
          </w:p>
        </w:tc>
        <w:tc>
          <w:tcPr>
            <w:tcW w:w="2500" w:type="dxa"/>
          </w:tcPr>
          <w:p w14:paraId="489910ED">
            <w:pPr>
              <w:spacing w:before="40" w:after="40"/>
              <w:ind w:firstLine="0"/>
              <w:jc w:val="center"/>
            </w:pPr>
            <w:r>
              <w:rPr>
                <w:rFonts w:ascii="Calibri" w:hAnsi="Calibri" w:eastAsia="微软雅黑"/>
                <w:color w:val="5D6D7E"/>
                <w:sz w:val="20"/>
              </w:rPr>
              <w:t>全部客户</w:t>
            </w:r>
          </w:p>
        </w:tc>
        <w:tc>
          <w:tcPr>
            <w:tcW w:w="2500" w:type="dxa"/>
          </w:tcPr>
          <w:p w14:paraId="48A07D98">
            <w:pPr>
              <w:spacing w:before="40" w:after="40"/>
              <w:ind w:firstLine="0"/>
              <w:jc w:val="center"/>
            </w:pPr>
            <w:r>
              <w:rPr>
                <w:rFonts w:ascii="Calibri" w:hAnsi="Calibri" w:eastAsia="微软雅黑"/>
                <w:color w:val="5D6D7E"/>
                <w:sz w:val="20"/>
              </w:rPr>
              <w:t>人天制</w:t>
            </w:r>
          </w:p>
        </w:tc>
        <w:tc>
          <w:tcPr>
            <w:tcW w:w="3000" w:type="dxa"/>
          </w:tcPr>
          <w:p w14:paraId="6D9635B3">
            <w:pPr>
              <w:spacing w:before="40" w:after="40"/>
              <w:ind w:firstLine="0"/>
              <w:jc w:val="center"/>
            </w:pPr>
            <w:r>
              <w:rPr>
                <w:rFonts w:ascii="Calibri" w:hAnsi="Calibri" w:eastAsia="微软雅黑"/>
                <w:color w:val="5D6D7E"/>
                <w:sz w:val="20"/>
              </w:rPr>
              <w:t>3,000-5,000元/人天</w:t>
            </w:r>
          </w:p>
        </w:tc>
      </w:tr>
    </w:tbl>
    <w:p w14:paraId="4F7AFF18">
      <w:pPr>
        <w:pStyle w:val="5"/>
      </w:pPr>
      <w:r>
        <w:t>表7：平台收费标准</w:t>
      </w:r>
    </w:p>
    <w:p w14:paraId="0D68E3D9">
      <w:pPr>
        <w:pStyle w:val="2"/>
      </w:pPr>
      <w:r>
        <w:t>七、团队介绍</w:t>
      </w:r>
      <w:bookmarkStart w:id="7" w:name="_Toc007"/>
      <w:bookmarkEnd w:id="7"/>
    </w:p>
    <w:p w14:paraId="40C936F5">
      <w:r>
        <w:t>项目团队由华中师范大学数学与统计学学院、计算机学院、人工智能教育学部等多学科背景的学生组成，团队成员在统计分析、机器学习、软件工程、工业数字化等领域具有扎实的专业基础和丰富的实践经验。</w:t>
      </w:r>
    </w:p>
    <w:p w14:paraId="39705274">
      <w:pPr>
        <w:keepNext/>
        <w:spacing w:before="200" w:after="80"/>
        <w:ind w:firstLine="0"/>
        <w:jc w:val="center"/>
      </w:pPr>
      <w:r>
        <w:drawing>
          <wp:inline distT="0" distB="0" distL="0" distR="0">
            <wp:extent cx="5399405" cy="3085465"/>
            <wp:effectExtent l="0" t="0" r="0" b="0"/>
            <wp:docPr id="10" name="团队协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团队协作"/>
                    <pic:cNvPicPr>
                      <a:picLocks noChangeAspect="1"/>
                    </pic:cNvPicPr>
                  </pic:nvPicPr>
                  <pic:blipFill>
                    <a:blip r:embed="rId20"/>
                    <a:stretch>
                      <a:fillRect/>
                    </a:stretch>
                  </pic:blipFill>
                  <pic:spPr>
                    <a:xfrm>
                      <a:off x="0" y="0"/>
                      <a:ext cx="5400000" cy="3085714"/>
                    </a:xfrm>
                    <a:prstGeom prst="rect">
                      <a:avLst/>
                    </a:prstGeom>
                  </pic:spPr>
                </pic:pic>
              </a:graphicData>
            </a:graphic>
          </wp:inline>
        </w:drawing>
      </w:r>
    </w:p>
    <w:p w14:paraId="373081A2">
      <w:pPr>
        <w:pStyle w:val="5"/>
      </w:pPr>
      <w:r>
        <w:t>图9：项目团队协作场景</w:t>
      </w:r>
    </w:p>
    <w:p w14:paraId="3AFD82A7">
      <w:r>
        <w:t>团队指导教师由数学与统计学学院和计算机学院的教授组成，在工业统计、机器学习、大数据处理等领域具有深厚的学术积累和丰富的产学研合作经验。同时，团队聘请了来自钢铁行业的资深专家担任顾问，确保产品的行业适配性和实用性。</w:t>
      </w:r>
    </w:p>
    <w:p w14:paraId="5BFC53E3">
      <w:pPr>
        <w:pStyle w:val="2"/>
      </w:pPr>
      <w:r>
        <w:t>八、发展规划</w:t>
      </w:r>
      <w:bookmarkStart w:id="8" w:name="_Toc008"/>
      <w:bookmarkEnd w:id="8"/>
    </w:p>
    <w:p w14:paraId="47FA13CF">
      <w:r>
        <w:t>项目分三个阶段推进实施，从原型验证到规模化推广，逐步实现商业可持续发展。</w:t>
      </w:r>
    </w:p>
    <w:p w14:paraId="1BF0264F">
      <w:r>
        <w:t>表9展示了项目的三年发展规划。</w:t>
      </w:r>
    </w:p>
    <w:tbl>
      <w:tblPr>
        <w:tblStyle w:val="11"/>
        <w:tblW w:w="5000" w:type="pct"/>
        <w:tblInd w:w="0" w:type="dxa"/>
        <w:tblBorders>
          <w:top w:val="single" w:color="2C3E50" w:sz="12" w:space="0"/>
          <w:left w:val="none" w:color="auto" w:sz="0" w:space="0"/>
          <w:bottom w:val="single" w:color="2C3E50" w:sz="12" w:space="0"/>
          <w:right w:val="none" w:color="auto" w:sz="0" w:space="0"/>
          <w:insideH w:val="single" w:color="BDC3C7" w:sz="4" w:space="0"/>
          <w:insideV w:val="none" w:color="auto" w:sz="0" w:space="0"/>
        </w:tblBorders>
        <w:tblLayout w:type="autofit"/>
        <w:tblCellMar>
          <w:top w:w="0" w:type="dxa"/>
          <w:left w:w="10" w:type="dxa"/>
          <w:bottom w:w="0" w:type="dxa"/>
          <w:right w:w="10" w:type="dxa"/>
        </w:tblCellMar>
      </w:tblPr>
      <w:tblGrid>
        <w:gridCol w:w="1347"/>
        <w:gridCol w:w="2290"/>
        <w:gridCol w:w="2691"/>
        <w:gridCol w:w="2718"/>
      </w:tblGrid>
      <w:tr w14:paraId="7DBD7BF8">
        <w:trPr>
          <w:tblHeader/>
        </w:trPr>
        <w:tc>
          <w:tcPr>
            <w:tcW w:w="1500" w:type="dxa"/>
            <w:shd w:val="clear" w:color="auto" w:fill="EBF5FB"/>
          </w:tcPr>
          <w:p w14:paraId="478046B2">
            <w:pPr>
              <w:spacing w:before="40" w:after="40"/>
              <w:ind w:firstLine="0"/>
              <w:jc w:val="center"/>
            </w:pPr>
            <w:r>
              <w:rPr>
                <w:rFonts w:ascii="Calibri" w:hAnsi="Calibri" w:eastAsia="微软雅黑"/>
                <w:b/>
                <w:color w:val="1A252F"/>
                <w:sz w:val="20"/>
              </w:rPr>
              <w:t>阶段</w:t>
            </w:r>
          </w:p>
        </w:tc>
        <w:tc>
          <w:tcPr>
            <w:tcW w:w="2500" w:type="dxa"/>
            <w:shd w:val="clear" w:color="auto" w:fill="EBF5FB"/>
          </w:tcPr>
          <w:p w14:paraId="1BE200AB">
            <w:pPr>
              <w:spacing w:before="40" w:after="40"/>
              <w:ind w:firstLine="0"/>
              <w:jc w:val="center"/>
            </w:pPr>
            <w:r>
              <w:rPr>
                <w:rFonts w:ascii="Calibri" w:hAnsi="Calibri" w:eastAsia="微软雅黑"/>
                <w:b/>
                <w:color w:val="1A252F"/>
                <w:sz w:val="20"/>
              </w:rPr>
              <w:t>时间</w:t>
            </w:r>
          </w:p>
        </w:tc>
        <w:tc>
          <w:tcPr>
            <w:tcW w:w="3000" w:type="dxa"/>
            <w:shd w:val="clear" w:color="auto" w:fill="EBF5FB"/>
          </w:tcPr>
          <w:p w14:paraId="5559C6FA">
            <w:pPr>
              <w:spacing w:before="40" w:after="40"/>
              <w:ind w:firstLine="0"/>
              <w:jc w:val="center"/>
            </w:pPr>
            <w:r>
              <w:rPr>
                <w:rFonts w:ascii="Calibri" w:hAnsi="Calibri" w:eastAsia="微软雅黑"/>
                <w:b/>
                <w:color w:val="1A252F"/>
                <w:sz w:val="20"/>
              </w:rPr>
              <w:t>重点任务</w:t>
            </w:r>
          </w:p>
        </w:tc>
        <w:tc>
          <w:tcPr>
            <w:tcW w:w="3000" w:type="dxa"/>
            <w:shd w:val="clear" w:color="auto" w:fill="EBF5FB"/>
          </w:tcPr>
          <w:p w14:paraId="5DC76027">
            <w:pPr>
              <w:spacing w:before="40" w:after="40"/>
              <w:ind w:firstLine="0"/>
              <w:jc w:val="center"/>
            </w:pPr>
            <w:r>
              <w:rPr>
                <w:rFonts w:ascii="Calibri" w:hAnsi="Calibri" w:eastAsia="微软雅黑"/>
                <w:b/>
                <w:color w:val="1A252F"/>
                <w:sz w:val="20"/>
              </w:rPr>
              <w:t>目标指标</w:t>
            </w:r>
          </w:p>
        </w:tc>
      </w:tr>
      <w:tr w14:paraId="62DBFB22">
        <w:tc>
          <w:tcPr>
            <w:tcW w:w="1500" w:type="dxa"/>
          </w:tcPr>
          <w:p w14:paraId="0FF48BD9">
            <w:pPr>
              <w:spacing w:before="40" w:after="40"/>
              <w:ind w:firstLine="0"/>
              <w:jc w:val="center"/>
            </w:pPr>
            <w:r>
              <w:rPr>
                <w:rFonts w:ascii="Calibri" w:hAnsi="Calibri" w:eastAsia="微软雅黑"/>
                <w:color w:val="5D6D7E"/>
                <w:sz w:val="20"/>
              </w:rPr>
              <w:t>第一阶段</w:t>
            </w:r>
          </w:p>
        </w:tc>
        <w:tc>
          <w:tcPr>
            <w:tcW w:w="2500" w:type="dxa"/>
          </w:tcPr>
          <w:p w14:paraId="5B41F60B">
            <w:pPr>
              <w:spacing w:before="40" w:after="40"/>
              <w:ind w:firstLine="0"/>
              <w:jc w:val="center"/>
            </w:pPr>
            <w:r>
              <w:rPr>
                <w:rFonts w:ascii="Calibri" w:hAnsi="Calibri" w:eastAsia="微软雅黑"/>
                <w:color w:val="5D6D7E"/>
                <w:sz w:val="20"/>
              </w:rPr>
              <w:t>2026.1-2026.12</w:t>
            </w:r>
          </w:p>
        </w:tc>
        <w:tc>
          <w:tcPr>
            <w:tcW w:w="3000" w:type="dxa"/>
          </w:tcPr>
          <w:p w14:paraId="123622BD">
            <w:pPr>
              <w:spacing w:before="40" w:after="40"/>
              <w:ind w:firstLine="0"/>
              <w:jc w:val="center"/>
            </w:pPr>
            <w:r>
              <w:rPr>
                <w:rFonts w:ascii="Calibri" w:hAnsi="Calibri" w:eastAsia="微软雅黑"/>
                <w:color w:val="5D6D7E"/>
                <w:sz w:val="20"/>
              </w:rPr>
              <w:t>核心产品研发、试点验证</w:t>
            </w:r>
          </w:p>
        </w:tc>
        <w:tc>
          <w:tcPr>
            <w:tcW w:w="3000" w:type="dxa"/>
          </w:tcPr>
          <w:p w14:paraId="7EF25FA6">
            <w:pPr>
              <w:spacing w:before="40" w:after="40"/>
              <w:ind w:firstLine="0"/>
              <w:jc w:val="center"/>
            </w:pPr>
            <w:r>
              <w:rPr>
                <w:rFonts w:ascii="Calibri" w:hAnsi="Calibri" w:eastAsia="微软雅黑"/>
                <w:color w:val="5D6D7E"/>
                <w:sz w:val="20"/>
              </w:rPr>
              <w:t>完成MVP、签约2家试点</w:t>
            </w:r>
          </w:p>
        </w:tc>
      </w:tr>
      <w:tr w14:paraId="3F4C2165">
        <w:tc>
          <w:tcPr>
            <w:tcW w:w="1500" w:type="dxa"/>
          </w:tcPr>
          <w:p w14:paraId="6206C96F">
            <w:pPr>
              <w:spacing w:before="40" w:after="40"/>
              <w:ind w:firstLine="0"/>
              <w:jc w:val="center"/>
            </w:pPr>
            <w:r>
              <w:rPr>
                <w:rFonts w:ascii="Calibri" w:hAnsi="Calibri" w:eastAsia="微软雅黑"/>
                <w:color w:val="5D6D7E"/>
                <w:sz w:val="20"/>
              </w:rPr>
              <w:t>第二阶段</w:t>
            </w:r>
          </w:p>
        </w:tc>
        <w:tc>
          <w:tcPr>
            <w:tcW w:w="2500" w:type="dxa"/>
          </w:tcPr>
          <w:p w14:paraId="48B4369A">
            <w:pPr>
              <w:spacing w:before="40" w:after="40"/>
              <w:ind w:firstLine="0"/>
              <w:jc w:val="center"/>
            </w:pPr>
            <w:r>
              <w:rPr>
                <w:rFonts w:ascii="Calibri" w:hAnsi="Calibri" w:eastAsia="微软雅黑"/>
                <w:color w:val="5D6D7E"/>
                <w:sz w:val="20"/>
              </w:rPr>
              <w:t>2027.1-2027.12</w:t>
            </w:r>
          </w:p>
        </w:tc>
        <w:tc>
          <w:tcPr>
            <w:tcW w:w="3000" w:type="dxa"/>
          </w:tcPr>
          <w:p w14:paraId="0C7DB50F">
            <w:pPr>
              <w:spacing w:before="40" w:after="40"/>
              <w:ind w:firstLine="0"/>
              <w:jc w:val="center"/>
            </w:pPr>
            <w:r>
              <w:rPr>
                <w:rFonts w:ascii="Calibri" w:hAnsi="Calibri" w:eastAsia="微软雅黑"/>
                <w:color w:val="5D6D7E"/>
                <w:sz w:val="20"/>
              </w:rPr>
              <w:t>产品迭代优化、区域推广</w:t>
            </w:r>
          </w:p>
        </w:tc>
        <w:tc>
          <w:tcPr>
            <w:tcW w:w="3000" w:type="dxa"/>
          </w:tcPr>
          <w:p w14:paraId="6E4FA7E4">
            <w:pPr>
              <w:spacing w:before="40" w:after="40"/>
              <w:ind w:firstLine="0"/>
              <w:jc w:val="center"/>
            </w:pPr>
            <w:r>
              <w:rPr>
                <w:rFonts w:ascii="Calibri" w:hAnsi="Calibri" w:eastAsia="微软雅黑"/>
                <w:color w:val="5D6D7E"/>
                <w:sz w:val="20"/>
              </w:rPr>
              <w:t>签约10家企业、营收300万</w:t>
            </w:r>
          </w:p>
        </w:tc>
      </w:tr>
      <w:tr w14:paraId="7132562E">
        <w:tc>
          <w:tcPr>
            <w:tcW w:w="1500" w:type="dxa"/>
          </w:tcPr>
          <w:p w14:paraId="164711D9">
            <w:pPr>
              <w:spacing w:before="40" w:after="40"/>
              <w:ind w:firstLine="0"/>
              <w:jc w:val="center"/>
            </w:pPr>
            <w:r>
              <w:rPr>
                <w:rFonts w:ascii="Calibri" w:hAnsi="Calibri" w:eastAsia="微软雅黑"/>
                <w:color w:val="5D6D7E"/>
                <w:sz w:val="20"/>
              </w:rPr>
              <w:t>第三阶段</w:t>
            </w:r>
          </w:p>
        </w:tc>
        <w:tc>
          <w:tcPr>
            <w:tcW w:w="2500" w:type="dxa"/>
          </w:tcPr>
          <w:p w14:paraId="3AE47AE9">
            <w:pPr>
              <w:spacing w:before="40" w:after="40"/>
              <w:ind w:firstLine="0"/>
              <w:jc w:val="center"/>
            </w:pPr>
            <w:r>
              <w:rPr>
                <w:rFonts w:ascii="Calibri" w:hAnsi="Calibri" w:eastAsia="微软雅黑"/>
                <w:color w:val="5D6D7E"/>
                <w:sz w:val="20"/>
              </w:rPr>
              <w:t>2028.1-2028.12</w:t>
            </w:r>
          </w:p>
        </w:tc>
        <w:tc>
          <w:tcPr>
            <w:tcW w:w="3000" w:type="dxa"/>
          </w:tcPr>
          <w:p w14:paraId="4233D471">
            <w:pPr>
              <w:spacing w:before="40" w:after="40"/>
              <w:ind w:firstLine="0"/>
              <w:jc w:val="center"/>
            </w:pPr>
            <w:r>
              <w:rPr>
                <w:rFonts w:ascii="Calibri" w:hAnsi="Calibri" w:eastAsia="微软雅黑"/>
                <w:color w:val="5D6D7E"/>
                <w:sz w:val="20"/>
              </w:rPr>
              <w:t>规模扩张、生态建设</w:t>
            </w:r>
          </w:p>
        </w:tc>
        <w:tc>
          <w:tcPr>
            <w:tcW w:w="3000" w:type="dxa"/>
          </w:tcPr>
          <w:p w14:paraId="50AD704E">
            <w:pPr>
              <w:spacing w:before="40" w:after="40"/>
              <w:ind w:firstLine="0"/>
              <w:jc w:val="center"/>
            </w:pPr>
            <w:r>
              <w:rPr>
                <w:rFonts w:ascii="Calibri" w:hAnsi="Calibri" w:eastAsia="微软雅黑"/>
                <w:color w:val="5D6D7E"/>
                <w:sz w:val="20"/>
              </w:rPr>
              <w:t>签约30家企业、营收1000万</w:t>
            </w:r>
          </w:p>
        </w:tc>
      </w:tr>
    </w:tbl>
    <w:p w14:paraId="7FDE2438">
      <w:pPr>
        <w:pStyle w:val="5"/>
      </w:pPr>
      <w:r>
        <w:t>表9：项目三年发展规划</w:t>
      </w:r>
    </w:p>
    <w:p w14:paraId="59916D40">
      <w:pPr>
        <w:pStyle w:val="4"/>
      </w:pPr>
      <w:r>
        <w:t>第一阶段（2026年）：产品研发与试点验证</w:t>
      </w:r>
    </w:p>
    <w:p w14:paraId="55A86699">
      <w:r>
        <w:t>本阶段的核心任务是完成平台最小可行产品（MVP）的开发和打磨，并在2-3家钢铁企业开展试点应用。重点完善质量智能预警和能耗优化两大核心模块，积累行业数据和用户反馈，验证产品价值假设。同时，完成团队组建和公司注册，建立基础运营体系。</w:t>
      </w:r>
    </w:p>
    <w:p w14:paraId="7B8F571B">
      <w:pPr>
        <w:pStyle w:val="4"/>
      </w:pPr>
      <w:r>
        <w:t>第二阶段（2027年）：产品迭代与区域推广</w:t>
      </w:r>
    </w:p>
    <w:p w14:paraId="12EE1ECF">
      <w:r>
        <w:t>基于试点反馈进行产品迭代优化，扩展设备健康管理、数字孪生等高级功能。在辽宁省建立区域服务团队，通过行业展会、技术沙龙、标杆案例等方式扩大市场影响力。目标签约10家企业客户，实现营业收入300万元。</w:t>
      </w:r>
    </w:p>
    <w:p w14:paraId="556DF414">
      <w:pPr>
        <w:pStyle w:val="4"/>
      </w:pPr>
      <w:r>
        <w:t>第三阶段（2028年）：规模扩张与生态建设</w:t>
      </w:r>
    </w:p>
    <w:p w14:paraId="3E9A611F">
      <w:r>
        <w:t>将业务拓展至吉林、黑龙江、内蒙古等东北其他省份，建立覆盖东北的服务网络。开放平台的API接口和算法市场，吸引第三方开发者和行业合作伙伴，构建工业互联网生态。目标签约30家企业客户，实现营业收入1000万元。</w:t>
      </w:r>
    </w:p>
    <w:p w14:paraId="6FC0F2B1">
      <w:pPr>
        <w:pStyle w:val="2"/>
      </w:pPr>
      <w:r>
        <w:t>九、社会价值</w:t>
      </w:r>
      <w:bookmarkStart w:id="9" w:name="_Toc009"/>
      <w:bookmarkEnd w:id="9"/>
    </w:p>
    <w:p w14:paraId="5DAE2A13">
      <w:r>
        <w:t>"数智冶能"平台的社会价值体现在服务国家战略、推动产业升级、促进绿色发展、培养创新人才四个维度。</w:t>
      </w:r>
    </w:p>
    <w:p w14:paraId="311E3AD2">
      <w:pPr>
        <w:numPr>
          <w:ilvl w:val="0"/>
          <w:numId w:val="1"/>
        </w:numPr>
        <w:ind w:firstLine="0"/>
      </w:pPr>
      <w:r>
        <w:rPr>
          <w:b/>
        </w:rPr>
        <w:t>服务东北振兴战略——</w:t>
      </w:r>
      <w:r>
        <w:t>东北振兴是国家区域协调发展的重大战略。平台以数字化转型为切入点，帮助东北钢铁企业提升竞争力，为老工业基地注入新动能。据测算，若平台服务覆盖东北30%的钢铁产能，可带动相关企业综合效率提升10%以上，年产值增加超过50亿元。</w:t>
      </w:r>
    </w:p>
    <w:p w14:paraId="6EAF70C0">
      <w:pPr>
        <w:numPr>
          <w:ilvl w:val="0"/>
          <w:numId w:val="1"/>
        </w:numPr>
        <w:ind w:firstLine="0"/>
      </w:pPr>
      <w:r>
        <w:rPr>
          <w:b/>
        </w:rPr>
        <w:t>推动钢铁行业转型升级——</w:t>
      </w:r>
      <w:r>
        <w:t>钢铁行业是制造业数字化转型的主战场。平台以中小企业为重点服务对象，降低数字化门槛，推动行业整体数字化水平提升。通过标杆示范效应，带动更多企业加入数字化转型行列。</w:t>
      </w:r>
    </w:p>
    <w:p w14:paraId="76925C5E">
      <w:pPr>
        <w:numPr>
          <w:ilvl w:val="0"/>
          <w:numId w:val="1"/>
        </w:numPr>
        <w:ind w:firstLine="0"/>
      </w:pPr>
      <w:r>
        <w:rPr>
          <w:b/>
        </w:rPr>
        <w:t>促进绿色低碳发展——</w:t>
      </w:r>
      <w:r>
        <w:t>钢铁行业碳排放占全国15%，是实现"双碳"目标的重点行业。平台通过能耗优化和碳排放管理功能，帮助企业降低能源消耗和碳排放。按照平台服务企业平均节能5%估算，每服务100万吨产能，年可减少碳排放约1万吨。</w:t>
      </w:r>
    </w:p>
    <w:p w14:paraId="42904045">
      <w:pPr>
        <w:numPr>
          <w:ilvl w:val="0"/>
          <w:numId w:val="1"/>
        </w:numPr>
        <w:ind w:firstLine="0"/>
      </w:pPr>
      <w:r>
        <w:rPr>
          <w:b/>
        </w:rPr>
        <w:t>培养复合型创新人才——</w:t>
      </w:r>
      <w:r>
        <w:t>项目为高校学生提供了跨学科实践平台，将数学统计、人工智能、工业工程等知识融合应用于真实产业场景，培养"懂技术、懂产业、懂商业"的复合型人才。团队成员累计发表相关学术论文3篇，申请软件著作权2项。</w:t>
      </w:r>
    </w:p>
    <w:p w14:paraId="66E92016">
      <w:pPr>
        <w:pStyle w:val="2"/>
      </w:pPr>
      <w:r>
        <w:t>十、财务预测</w:t>
      </w:r>
      <w:bookmarkStart w:id="10" w:name="_Toc010"/>
      <w:bookmarkEnd w:id="10"/>
    </w:p>
    <w:p w14:paraId="6B363A73">
      <w:r>
        <w:t>表10展示了项目未来三年的财务预测。</w:t>
      </w:r>
    </w:p>
    <w:tbl>
      <w:tblPr>
        <w:tblStyle w:val="11"/>
        <w:tblW w:w="5000" w:type="pct"/>
        <w:tblInd w:w="0" w:type="dxa"/>
        <w:tblBorders>
          <w:top w:val="single" w:color="2C3E50" w:sz="12" w:space="0"/>
          <w:left w:val="none" w:color="auto" w:sz="0" w:space="0"/>
          <w:bottom w:val="single" w:color="2C3E50" w:sz="12" w:space="0"/>
          <w:right w:val="none" w:color="auto" w:sz="0" w:space="0"/>
          <w:insideH w:val="single" w:color="BDC3C7" w:sz="4" w:space="0"/>
          <w:insideV w:val="none" w:color="auto" w:sz="0" w:space="0"/>
        </w:tblBorders>
        <w:tblLayout w:type="autofit"/>
        <w:tblCellMar>
          <w:top w:w="0" w:type="dxa"/>
          <w:left w:w="10" w:type="dxa"/>
          <w:bottom w:w="0" w:type="dxa"/>
          <w:right w:w="10" w:type="dxa"/>
        </w:tblCellMar>
      </w:tblPr>
      <w:tblGrid>
        <w:gridCol w:w="1808"/>
        <w:gridCol w:w="1806"/>
        <w:gridCol w:w="1806"/>
        <w:gridCol w:w="1813"/>
        <w:gridCol w:w="1813"/>
      </w:tblGrid>
      <w:tr w14:paraId="3933B166">
        <w:trPr>
          <w:tblHeader/>
        </w:trPr>
        <w:tc>
          <w:tcPr>
            <w:tcW w:w="2000" w:type="dxa"/>
            <w:shd w:val="clear" w:color="auto" w:fill="EBF5FB"/>
          </w:tcPr>
          <w:p w14:paraId="2067BC75">
            <w:pPr>
              <w:spacing w:before="40" w:after="40"/>
              <w:ind w:firstLine="0"/>
              <w:jc w:val="center"/>
            </w:pPr>
            <w:r>
              <w:rPr>
                <w:rFonts w:ascii="Calibri" w:hAnsi="Calibri" w:eastAsia="微软雅黑"/>
                <w:b/>
                <w:color w:val="1A252F"/>
                <w:sz w:val="20"/>
              </w:rPr>
              <w:t>项目（万元）</w:t>
            </w:r>
          </w:p>
        </w:tc>
        <w:tc>
          <w:tcPr>
            <w:tcW w:w="2000" w:type="dxa"/>
            <w:shd w:val="clear" w:color="auto" w:fill="EBF5FB"/>
          </w:tcPr>
          <w:p w14:paraId="4B9AD026">
            <w:pPr>
              <w:spacing w:before="40" w:after="40"/>
              <w:ind w:firstLine="0"/>
              <w:jc w:val="center"/>
            </w:pPr>
            <w:r>
              <w:rPr>
                <w:rFonts w:ascii="Calibri" w:hAnsi="Calibri" w:eastAsia="微软雅黑"/>
                <w:b/>
                <w:color w:val="1A252F"/>
                <w:sz w:val="20"/>
              </w:rPr>
              <w:t>2026年</w:t>
            </w:r>
          </w:p>
        </w:tc>
        <w:tc>
          <w:tcPr>
            <w:tcW w:w="2000" w:type="dxa"/>
            <w:shd w:val="clear" w:color="auto" w:fill="EBF5FB"/>
          </w:tcPr>
          <w:p w14:paraId="0C1E1085">
            <w:pPr>
              <w:spacing w:before="40" w:after="40"/>
              <w:ind w:firstLine="0"/>
              <w:jc w:val="center"/>
            </w:pPr>
            <w:r>
              <w:rPr>
                <w:rFonts w:ascii="Calibri" w:hAnsi="Calibri" w:eastAsia="微软雅黑"/>
                <w:b/>
                <w:color w:val="1A252F"/>
                <w:sz w:val="20"/>
              </w:rPr>
              <w:t>2027年</w:t>
            </w:r>
          </w:p>
        </w:tc>
        <w:tc>
          <w:tcPr>
            <w:tcW w:w="2000" w:type="dxa"/>
            <w:shd w:val="clear" w:color="auto" w:fill="EBF5FB"/>
          </w:tcPr>
          <w:p w14:paraId="115F933B">
            <w:pPr>
              <w:spacing w:before="40" w:after="40"/>
              <w:ind w:firstLine="0"/>
              <w:jc w:val="center"/>
            </w:pPr>
            <w:r>
              <w:rPr>
                <w:rFonts w:ascii="Calibri" w:hAnsi="Calibri" w:eastAsia="微软雅黑"/>
                <w:b/>
                <w:color w:val="1A252F"/>
                <w:sz w:val="20"/>
              </w:rPr>
              <w:t>2028年</w:t>
            </w:r>
          </w:p>
        </w:tc>
        <w:tc>
          <w:tcPr>
            <w:tcW w:w="2000" w:type="dxa"/>
            <w:shd w:val="clear" w:color="auto" w:fill="EBF5FB"/>
          </w:tcPr>
          <w:p w14:paraId="66809513">
            <w:pPr>
              <w:spacing w:before="40" w:after="40"/>
              <w:ind w:firstLine="0"/>
              <w:jc w:val="center"/>
            </w:pPr>
            <w:r>
              <w:rPr>
                <w:rFonts w:ascii="Calibri" w:hAnsi="Calibri" w:eastAsia="微软雅黑"/>
                <w:b/>
                <w:color w:val="1A252F"/>
                <w:sz w:val="20"/>
              </w:rPr>
              <w:t>三年合计</w:t>
            </w:r>
          </w:p>
        </w:tc>
      </w:tr>
      <w:tr w14:paraId="569BA0C9">
        <w:tc>
          <w:tcPr>
            <w:tcW w:w="2000" w:type="dxa"/>
          </w:tcPr>
          <w:p w14:paraId="11491578">
            <w:pPr>
              <w:spacing w:before="40" w:after="40"/>
              <w:ind w:firstLine="0"/>
              <w:jc w:val="center"/>
            </w:pPr>
            <w:r>
              <w:rPr>
                <w:rFonts w:ascii="Calibri" w:hAnsi="Calibri" w:eastAsia="微软雅黑"/>
                <w:color w:val="5D6D7E"/>
                <w:sz w:val="20"/>
              </w:rPr>
              <w:t>营业收入</w:t>
            </w:r>
          </w:p>
        </w:tc>
        <w:tc>
          <w:tcPr>
            <w:tcW w:w="2000" w:type="dxa"/>
          </w:tcPr>
          <w:p w14:paraId="4DED5487">
            <w:pPr>
              <w:spacing w:before="40" w:after="40"/>
              <w:ind w:firstLine="0"/>
              <w:jc w:val="center"/>
            </w:pPr>
            <w:r>
              <w:rPr>
                <w:rFonts w:ascii="Calibri" w:hAnsi="Calibri" w:eastAsia="微软雅黑"/>
                <w:color w:val="5D6D7E"/>
                <w:sz w:val="20"/>
              </w:rPr>
              <w:t>50</w:t>
            </w:r>
          </w:p>
        </w:tc>
        <w:tc>
          <w:tcPr>
            <w:tcW w:w="2000" w:type="dxa"/>
          </w:tcPr>
          <w:p w14:paraId="4C1DE76C">
            <w:pPr>
              <w:spacing w:before="40" w:after="40"/>
              <w:ind w:firstLine="0"/>
              <w:jc w:val="center"/>
            </w:pPr>
            <w:r>
              <w:rPr>
                <w:rFonts w:ascii="Calibri" w:hAnsi="Calibri" w:eastAsia="微软雅黑"/>
                <w:color w:val="5D6D7E"/>
                <w:sz w:val="20"/>
              </w:rPr>
              <w:t>300</w:t>
            </w:r>
          </w:p>
        </w:tc>
        <w:tc>
          <w:tcPr>
            <w:tcW w:w="2000" w:type="dxa"/>
          </w:tcPr>
          <w:p w14:paraId="26B21E17">
            <w:pPr>
              <w:spacing w:before="40" w:after="40"/>
              <w:ind w:firstLine="0"/>
              <w:jc w:val="center"/>
            </w:pPr>
            <w:r>
              <w:rPr>
                <w:rFonts w:ascii="Calibri" w:hAnsi="Calibri" w:eastAsia="微软雅黑"/>
                <w:color w:val="5D6D7E"/>
                <w:sz w:val="20"/>
              </w:rPr>
              <w:t>1,000</w:t>
            </w:r>
          </w:p>
        </w:tc>
        <w:tc>
          <w:tcPr>
            <w:tcW w:w="2000" w:type="dxa"/>
          </w:tcPr>
          <w:p w14:paraId="39E29858">
            <w:pPr>
              <w:spacing w:before="40" w:after="40"/>
              <w:ind w:firstLine="0"/>
              <w:jc w:val="center"/>
            </w:pPr>
            <w:r>
              <w:rPr>
                <w:rFonts w:ascii="Calibri" w:hAnsi="Calibri" w:eastAsia="微软雅黑"/>
                <w:color w:val="5D6D7E"/>
                <w:sz w:val="20"/>
              </w:rPr>
              <w:t>1,350</w:t>
            </w:r>
          </w:p>
        </w:tc>
      </w:tr>
      <w:tr w14:paraId="31A60F8C">
        <w:tc>
          <w:tcPr>
            <w:tcW w:w="2000" w:type="dxa"/>
          </w:tcPr>
          <w:p w14:paraId="7E4DDDEF">
            <w:pPr>
              <w:spacing w:before="40" w:after="40"/>
              <w:ind w:firstLine="0"/>
              <w:jc w:val="center"/>
            </w:pPr>
            <w:r>
              <w:rPr>
                <w:rFonts w:ascii="Calibri" w:hAnsi="Calibri" w:eastAsia="微软雅黑"/>
                <w:color w:val="5D6D7E"/>
                <w:sz w:val="20"/>
              </w:rPr>
              <w:t>SaaS订阅</w:t>
            </w:r>
          </w:p>
        </w:tc>
        <w:tc>
          <w:tcPr>
            <w:tcW w:w="2000" w:type="dxa"/>
          </w:tcPr>
          <w:p w14:paraId="4D8F623B">
            <w:pPr>
              <w:spacing w:before="40" w:after="40"/>
              <w:ind w:firstLine="0"/>
              <w:jc w:val="center"/>
            </w:pPr>
            <w:r>
              <w:rPr>
                <w:rFonts w:ascii="Calibri" w:hAnsi="Calibri" w:eastAsia="微软雅黑"/>
                <w:color w:val="5D6D7E"/>
                <w:sz w:val="20"/>
              </w:rPr>
              <w:t>10</w:t>
            </w:r>
          </w:p>
        </w:tc>
        <w:tc>
          <w:tcPr>
            <w:tcW w:w="2000" w:type="dxa"/>
          </w:tcPr>
          <w:p w14:paraId="09C4074D">
            <w:pPr>
              <w:spacing w:before="40" w:after="40"/>
              <w:ind w:firstLine="0"/>
              <w:jc w:val="center"/>
            </w:pPr>
            <w:r>
              <w:rPr>
                <w:rFonts w:ascii="Calibri" w:hAnsi="Calibri" w:eastAsia="微软雅黑"/>
                <w:color w:val="5D6D7E"/>
                <w:sz w:val="20"/>
              </w:rPr>
              <w:t>80</w:t>
            </w:r>
          </w:p>
        </w:tc>
        <w:tc>
          <w:tcPr>
            <w:tcW w:w="2000" w:type="dxa"/>
          </w:tcPr>
          <w:p w14:paraId="03B7A274">
            <w:pPr>
              <w:spacing w:before="40" w:after="40"/>
              <w:ind w:firstLine="0"/>
              <w:jc w:val="center"/>
            </w:pPr>
            <w:r>
              <w:rPr>
                <w:rFonts w:ascii="Calibri" w:hAnsi="Calibri" w:eastAsia="微软雅黑"/>
                <w:color w:val="5D6D7E"/>
                <w:sz w:val="20"/>
              </w:rPr>
              <w:t>300</w:t>
            </w:r>
          </w:p>
        </w:tc>
        <w:tc>
          <w:tcPr>
            <w:tcW w:w="2000" w:type="dxa"/>
          </w:tcPr>
          <w:p w14:paraId="683C74F9">
            <w:pPr>
              <w:spacing w:before="40" w:after="40"/>
              <w:ind w:firstLine="0"/>
              <w:jc w:val="center"/>
            </w:pPr>
            <w:r>
              <w:rPr>
                <w:rFonts w:ascii="Calibri" w:hAnsi="Calibri" w:eastAsia="微软雅黑"/>
                <w:color w:val="5D6D7E"/>
                <w:sz w:val="20"/>
              </w:rPr>
              <w:t>390</w:t>
            </w:r>
          </w:p>
        </w:tc>
      </w:tr>
      <w:tr w14:paraId="61DD3DEC">
        <w:tc>
          <w:tcPr>
            <w:tcW w:w="2000" w:type="dxa"/>
          </w:tcPr>
          <w:p w14:paraId="019C8423">
            <w:pPr>
              <w:spacing w:before="40" w:after="40"/>
              <w:ind w:firstLine="0"/>
              <w:jc w:val="center"/>
            </w:pPr>
            <w:r>
              <w:rPr>
                <w:rFonts w:ascii="Calibri" w:hAnsi="Calibri" w:eastAsia="微软雅黑"/>
                <w:color w:val="5D6D7E"/>
                <w:sz w:val="20"/>
              </w:rPr>
              <w:t>私有化部署</w:t>
            </w:r>
          </w:p>
        </w:tc>
        <w:tc>
          <w:tcPr>
            <w:tcW w:w="2000" w:type="dxa"/>
          </w:tcPr>
          <w:p w14:paraId="718A187C">
            <w:pPr>
              <w:spacing w:before="40" w:after="40"/>
              <w:ind w:firstLine="0"/>
              <w:jc w:val="center"/>
            </w:pPr>
            <w:r>
              <w:rPr>
                <w:rFonts w:ascii="Calibri" w:hAnsi="Calibri" w:eastAsia="微软雅黑"/>
                <w:color w:val="5D6D7E"/>
                <w:sz w:val="20"/>
              </w:rPr>
              <w:t>30</w:t>
            </w:r>
          </w:p>
        </w:tc>
        <w:tc>
          <w:tcPr>
            <w:tcW w:w="2000" w:type="dxa"/>
          </w:tcPr>
          <w:p w14:paraId="43796C38">
            <w:pPr>
              <w:spacing w:before="40" w:after="40"/>
              <w:ind w:firstLine="0"/>
              <w:jc w:val="center"/>
            </w:pPr>
            <w:r>
              <w:rPr>
                <w:rFonts w:ascii="Calibri" w:hAnsi="Calibri" w:eastAsia="微软雅黑"/>
                <w:color w:val="5D6D7E"/>
                <w:sz w:val="20"/>
              </w:rPr>
              <w:t>180</w:t>
            </w:r>
          </w:p>
        </w:tc>
        <w:tc>
          <w:tcPr>
            <w:tcW w:w="2000" w:type="dxa"/>
          </w:tcPr>
          <w:p w14:paraId="35D4E0CE">
            <w:pPr>
              <w:spacing w:before="40" w:after="40"/>
              <w:ind w:firstLine="0"/>
              <w:jc w:val="center"/>
            </w:pPr>
            <w:r>
              <w:rPr>
                <w:rFonts w:ascii="Calibri" w:hAnsi="Calibri" w:eastAsia="微软雅黑"/>
                <w:color w:val="5D6D7E"/>
                <w:sz w:val="20"/>
              </w:rPr>
              <w:t>550</w:t>
            </w:r>
          </w:p>
        </w:tc>
        <w:tc>
          <w:tcPr>
            <w:tcW w:w="2000" w:type="dxa"/>
          </w:tcPr>
          <w:p w14:paraId="6635E575">
            <w:pPr>
              <w:spacing w:before="40" w:after="40"/>
              <w:ind w:firstLine="0"/>
              <w:jc w:val="center"/>
            </w:pPr>
            <w:r>
              <w:rPr>
                <w:rFonts w:ascii="Calibri" w:hAnsi="Calibri" w:eastAsia="微软雅黑"/>
                <w:color w:val="5D6D7E"/>
                <w:sz w:val="20"/>
              </w:rPr>
              <w:t>760</w:t>
            </w:r>
          </w:p>
        </w:tc>
      </w:tr>
      <w:tr w14:paraId="3FD74229">
        <w:tc>
          <w:tcPr>
            <w:tcW w:w="2000" w:type="dxa"/>
          </w:tcPr>
          <w:p w14:paraId="4F7ECB16">
            <w:pPr>
              <w:spacing w:before="40" w:after="40"/>
              <w:ind w:firstLine="0"/>
              <w:jc w:val="center"/>
            </w:pPr>
            <w:r>
              <w:rPr>
                <w:rFonts w:ascii="Calibri" w:hAnsi="Calibri" w:eastAsia="微软雅黑"/>
                <w:color w:val="5D6D7E"/>
                <w:sz w:val="20"/>
              </w:rPr>
              <w:t>增值服务</w:t>
            </w:r>
          </w:p>
        </w:tc>
        <w:tc>
          <w:tcPr>
            <w:tcW w:w="2000" w:type="dxa"/>
          </w:tcPr>
          <w:p w14:paraId="1FCAEFD3">
            <w:pPr>
              <w:spacing w:before="40" w:after="40"/>
              <w:ind w:firstLine="0"/>
              <w:jc w:val="center"/>
            </w:pPr>
            <w:r>
              <w:rPr>
                <w:rFonts w:ascii="Calibri" w:hAnsi="Calibri" w:eastAsia="微软雅黑"/>
                <w:color w:val="5D6D7E"/>
                <w:sz w:val="20"/>
              </w:rPr>
              <w:t>10</w:t>
            </w:r>
          </w:p>
        </w:tc>
        <w:tc>
          <w:tcPr>
            <w:tcW w:w="2000" w:type="dxa"/>
          </w:tcPr>
          <w:p w14:paraId="57A64B1D">
            <w:pPr>
              <w:spacing w:before="40" w:after="40"/>
              <w:ind w:firstLine="0"/>
              <w:jc w:val="center"/>
            </w:pPr>
            <w:r>
              <w:rPr>
                <w:rFonts w:ascii="Calibri" w:hAnsi="Calibri" w:eastAsia="微软雅黑"/>
                <w:color w:val="5D6D7E"/>
                <w:sz w:val="20"/>
              </w:rPr>
              <w:t>40</w:t>
            </w:r>
          </w:p>
        </w:tc>
        <w:tc>
          <w:tcPr>
            <w:tcW w:w="2000" w:type="dxa"/>
          </w:tcPr>
          <w:p w14:paraId="362BB79D">
            <w:pPr>
              <w:spacing w:before="40" w:after="40"/>
              <w:ind w:firstLine="0"/>
              <w:jc w:val="center"/>
            </w:pPr>
            <w:r>
              <w:rPr>
                <w:rFonts w:ascii="Calibri" w:hAnsi="Calibri" w:eastAsia="微软雅黑"/>
                <w:color w:val="5D6D7E"/>
                <w:sz w:val="20"/>
              </w:rPr>
              <w:t>150</w:t>
            </w:r>
          </w:p>
        </w:tc>
        <w:tc>
          <w:tcPr>
            <w:tcW w:w="2000" w:type="dxa"/>
          </w:tcPr>
          <w:p w14:paraId="78C99728">
            <w:pPr>
              <w:spacing w:before="40" w:after="40"/>
              <w:ind w:firstLine="0"/>
              <w:jc w:val="center"/>
            </w:pPr>
            <w:r>
              <w:rPr>
                <w:rFonts w:ascii="Calibri" w:hAnsi="Calibri" w:eastAsia="微软雅黑"/>
                <w:color w:val="5D6D7E"/>
                <w:sz w:val="20"/>
              </w:rPr>
              <w:t>200</w:t>
            </w:r>
          </w:p>
        </w:tc>
      </w:tr>
      <w:tr w14:paraId="31F06F98">
        <w:tc>
          <w:tcPr>
            <w:tcW w:w="2000" w:type="dxa"/>
          </w:tcPr>
          <w:p w14:paraId="6AD789E4">
            <w:pPr>
              <w:spacing w:before="40" w:after="40"/>
              <w:ind w:firstLine="0"/>
              <w:jc w:val="center"/>
            </w:pPr>
            <w:r>
              <w:rPr>
                <w:rFonts w:ascii="Calibri" w:hAnsi="Calibri" w:eastAsia="微软雅黑"/>
                <w:color w:val="5D6D7E"/>
                <w:sz w:val="20"/>
              </w:rPr>
              <w:t>营业成本</w:t>
            </w:r>
          </w:p>
        </w:tc>
        <w:tc>
          <w:tcPr>
            <w:tcW w:w="2000" w:type="dxa"/>
          </w:tcPr>
          <w:p w14:paraId="30059894">
            <w:pPr>
              <w:spacing w:before="40" w:after="40"/>
              <w:ind w:firstLine="0"/>
              <w:jc w:val="center"/>
            </w:pPr>
            <w:r>
              <w:rPr>
                <w:rFonts w:ascii="Calibri" w:hAnsi="Calibri" w:eastAsia="微软雅黑"/>
                <w:color w:val="5D6D7E"/>
                <w:sz w:val="20"/>
              </w:rPr>
              <w:t>35</w:t>
            </w:r>
          </w:p>
        </w:tc>
        <w:tc>
          <w:tcPr>
            <w:tcW w:w="2000" w:type="dxa"/>
          </w:tcPr>
          <w:p w14:paraId="02480DD1">
            <w:pPr>
              <w:spacing w:before="40" w:after="40"/>
              <w:ind w:firstLine="0"/>
              <w:jc w:val="center"/>
            </w:pPr>
            <w:r>
              <w:rPr>
                <w:rFonts w:ascii="Calibri" w:hAnsi="Calibri" w:eastAsia="微软雅黑"/>
                <w:color w:val="5D6D7E"/>
                <w:sz w:val="20"/>
              </w:rPr>
              <w:t>180</w:t>
            </w:r>
          </w:p>
        </w:tc>
        <w:tc>
          <w:tcPr>
            <w:tcW w:w="2000" w:type="dxa"/>
          </w:tcPr>
          <w:p w14:paraId="077968F3">
            <w:pPr>
              <w:spacing w:before="40" w:after="40"/>
              <w:ind w:firstLine="0"/>
              <w:jc w:val="center"/>
            </w:pPr>
            <w:r>
              <w:rPr>
                <w:rFonts w:ascii="Calibri" w:hAnsi="Calibri" w:eastAsia="微软雅黑"/>
                <w:color w:val="5D6D7E"/>
                <w:sz w:val="20"/>
              </w:rPr>
              <w:t>550</w:t>
            </w:r>
          </w:p>
        </w:tc>
        <w:tc>
          <w:tcPr>
            <w:tcW w:w="2000" w:type="dxa"/>
          </w:tcPr>
          <w:p w14:paraId="7014E401">
            <w:pPr>
              <w:spacing w:before="40" w:after="40"/>
              <w:ind w:firstLine="0"/>
              <w:jc w:val="center"/>
            </w:pPr>
            <w:r>
              <w:rPr>
                <w:rFonts w:ascii="Calibri" w:hAnsi="Calibri" w:eastAsia="微软雅黑"/>
                <w:color w:val="5D6D7E"/>
                <w:sz w:val="20"/>
              </w:rPr>
              <w:t>765</w:t>
            </w:r>
          </w:p>
        </w:tc>
      </w:tr>
      <w:tr w14:paraId="7E340D71">
        <w:tc>
          <w:tcPr>
            <w:tcW w:w="2000" w:type="dxa"/>
          </w:tcPr>
          <w:p w14:paraId="175DDA68">
            <w:pPr>
              <w:spacing w:before="40" w:after="40"/>
              <w:ind w:firstLine="0"/>
              <w:jc w:val="center"/>
            </w:pPr>
            <w:r>
              <w:rPr>
                <w:rFonts w:ascii="Calibri" w:hAnsi="Calibri" w:eastAsia="微软雅黑"/>
                <w:color w:val="5D6D7E"/>
                <w:sz w:val="20"/>
              </w:rPr>
              <w:t>毛利</w:t>
            </w:r>
          </w:p>
        </w:tc>
        <w:tc>
          <w:tcPr>
            <w:tcW w:w="2000" w:type="dxa"/>
          </w:tcPr>
          <w:p w14:paraId="70E1776A">
            <w:pPr>
              <w:spacing w:before="40" w:after="40"/>
              <w:ind w:firstLine="0"/>
              <w:jc w:val="center"/>
            </w:pPr>
            <w:r>
              <w:rPr>
                <w:rFonts w:ascii="Calibri" w:hAnsi="Calibri" w:eastAsia="微软雅黑"/>
                <w:color w:val="5D6D7E"/>
                <w:sz w:val="20"/>
              </w:rPr>
              <w:t>15</w:t>
            </w:r>
          </w:p>
        </w:tc>
        <w:tc>
          <w:tcPr>
            <w:tcW w:w="2000" w:type="dxa"/>
          </w:tcPr>
          <w:p w14:paraId="56A76AEE">
            <w:pPr>
              <w:spacing w:before="40" w:after="40"/>
              <w:ind w:firstLine="0"/>
              <w:jc w:val="center"/>
            </w:pPr>
            <w:r>
              <w:rPr>
                <w:rFonts w:ascii="Calibri" w:hAnsi="Calibri" w:eastAsia="微软雅黑"/>
                <w:color w:val="5D6D7E"/>
                <w:sz w:val="20"/>
              </w:rPr>
              <w:t>120</w:t>
            </w:r>
          </w:p>
        </w:tc>
        <w:tc>
          <w:tcPr>
            <w:tcW w:w="2000" w:type="dxa"/>
          </w:tcPr>
          <w:p w14:paraId="6D057D2B">
            <w:pPr>
              <w:spacing w:before="40" w:after="40"/>
              <w:ind w:firstLine="0"/>
              <w:jc w:val="center"/>
            </w:pPr>
            <w:r>
              <w:rPr>
                <w:rFonts w:ascii="Calibri" w:hAnsi="Calibri" w:eastAsia="微软雅黑"/>
                <w:color w:val="5D6D7E"/>
                <w:sz w:val="20"/>
              </w:rPr>
              <w:t>450</w:t>
            </w:r>
          </w:p>
        </w:tc>
        <w:tc>
          <w:tcPr>
            <w:tcW w:w="2000" w:type="dxa"/>
          </w:tcPr>
          <w:p w14:paraId="378F5ECD">
            <w:pPr>
              <w:spacing w:before="40" w:after="40"/>
              <w:ind w:firstLine="0"/>
              <w:jc w:val="center"/>
            </w:pPr>
            <w:r>
              <w:rPr>
                <w:rFonts w:ascii="Calibri" w:hAnsi="Calibri" w:eastAsia="微软雅黑"/>
                <w:color w:val="5D6D7E"/>
                <w:sz w:val="20"/>
              </w:rPr>
              <w:t>585</w:t>
            </w:r>
          </w:p>
        </w:tc>
      </w:tr>
      <w:tr w14:paraId="14157326">
        <w:tc>
          <w:tcPr>
            <w:tcW w:w="2000" w:type="dxa"/>
          </w:tcPr>
          <w:p w14:paraId="02586B50">
            <w:pPr>
              <w:spacing w:before="40" w:after="40"/>
              <w:ind w:firstLine="0"/>
              <w:jc w:val="center"/>
            </w:pPr>
            <w:r>
              <w:rPr>
                <w:rFonts w:ascii="Calibri" w:hAnsi="Calibri" w:eastAsia="微软雅黑"/>
                <w:color w:val="5D6D7E"/>
                <w:sz w:val="20"/>
              </w:rPr>
              <w:t>毛利率</w:t>
            </w:r>
          </w:p>
        </w:tc>
        <w:tc>
          <w:tcPr>
            <w:tcW w:w="2000" w:type="dxa"/>
          </w:tcPr>
          <w:p w14:paraId="592844A3">
            <w:pPr>
              <w:spacing w:before="40" w:after="40"/>
              <w:ind w:firstLine="0"/>
              <w:jc w:val="center"/>
            </w:pPr>
            <w:r>
              <w:rPr>
                <w:rFonts w:ascii="Calibri" w:hAnsi="Calibri" w:eastAsia="微软雅黑"/>
                <w:color w:val="5D6D7E"/>
                <w:sz w:val="20"/>
              </w:rPr>
              <w:t>30%</w:t>
            </w:r>
          </w:p>
        </w:tc>
        <w:tc>
          <w:tcPr>
            <w:tcW w:w="2000" w:type="dxa"/>
          </w:tcPr>
          <w:p w14:paraId="3EB9B7A1">
            <w:pPr>
              <w:spacing w:before="40" w:after="40"/>
              <w:ind w:firstLine="0"/>
              <w:jc w:val="center"/>
            </w:pPr>
            <w:r>
              <w:rPr>
                <w:rFonts w:ascii="Calibri" w:hAnsi="Calibri" w:eastAsia="微软雅黑"/>
                <w:color w:val="5D6D7E"/>
                <w:sz w:val="20"/>
              </w:rPr>
              <w:t>40%</w:t>
            </w:r>
          </w:p>
        </w:tc>
        <w:tc>
          <w:tcPr>
            <w:tcW w:w="2000" w:type="dxa"/>
          </w:tcPr>
          <w:p w14:paraId="5E94AACD">
            <w:pPr>
              <w:spacing w:before="40" w:after="40"/>
              <w:ind w:firstLine="0"/>
              <w:jc w:val="center"/>
            </w:pPr>
            <w:r>
              <w:rPr>
                <w:rFonts w:ascii="Calibri" w:hAnsi="Calibri" w:eastAsia="微软雅黑"/>
                <w:color w:val="5D6D7E"/>
                <w:sz w:val="20"/>
              </w:rPr>
              <w:t>45%</w:t>
            </w:r>
          </w:p>
        </w:tc>
        <w:tc>
          <w:tcPr>
            <w:tcW w:w="2000" w:type="dxa"/>
          </w:tcPr>
          <w:p w14:paraId="2834DB56">
            <w:pPr>
              <w:spacing w:before="40" w:after="40"/>
              <w:ind w:firstLine="0"/>
              <w:jc w:val="center"/>
            </w:pPr>
            <w:r>
              <w:rPr>
                <w:rFonts w:ascii="Calibri" w:hAnsi="Calibri" w:eastAsia="微软雅黑"/>
                <w:color w:val="5D6D7E"/>
                <w:sz w:val="20"/>
              </w:rPr>
              <w:t>43%</w:t>
            </w:r>
          </w:p>
        </w:tc>
      </w:tr>
      <w:tr w14:paraId="0661FDDF">
        <w:tc>
          <w:tcPr>
            <w:tcW w:w="2000" w:type="dxa"/>
          </w:tcPr>
          <w:p w14:paraId="187E7A9A">
            <w:pPr>
              <w:spacing w:before="40" w:after="40"/>
              <w:ind w:firstLine="0"/>
              <w:jc w:val="center"/>
            </w:pPr>
            <w:r>
              <w:rPr>
                <w:rFonts w:ascii="Calibri" w:hAnsi="Calibri" w:eastAsia="微软雅黑"/>
                <w:color w:val="5D6D7E"/>
                <w:sz w:val="20"/>
              </w:rPr>
              <w:t>运营费用</w:t>
            </w:r>
          </w:p>
        </w:tc>
        <w:tc>
          <w:tcPr>
            <w:tcW w:w="2000" w:type="dxa"/>
          </w:tcPr>
          <w:p w14:paraId="69088485">
            <w:pPr>
              <w:spacing w:before="40" w:after="40"/>
              <w:ind w:firstLine="0"/>
              <w:jc w:val="center"/>
            </w:pPr>
            <w:r>
              <w:rPr>
                <w:rFonts w:ascii="Calibri" w:hAnsi="Calibri" w:eastAsia="微软雅黑"/>
                <w:color w:val="5D6D7E"/>
                <w:sz w:val="20"/>
              </w:rPr>
              <w:t>80</w:t>
            </w:r>
          </w:p>
        </w:tc>
        <w:tc>
          <w:tcPr>
            <w:tcW w:w="2000" w:type="dxa"/>
          </w:tcPr>
          <w:p w14:paraId="10A1566C">
            <w:pPr>
              <w:spacing w:before="40" w:after="40"/>
              <w:ind w:firstLine="0"/>
              <w:jc w:val="center"/>
            </w:pPr>
            <w:r>
              <w:rPr>
                <w:rFonts w:ascii="Calibri" w:hAnsi="Calibri" w:eastAsia="微软雅黑"/>
                <w:color w:val="5D6D7E"/>
                <w:sz w:val="20"/>
              </w:rPr>
              <w:t>150</w:t>
            </w:r>
          </w:p>
        </w:tc>
        <w:tc>
          <w:tcPr>
            <w:tcW w:w="2000" w:type="dxa"/>
          </w:tcPr>
          <w:p w14:paraId="7A8AA83C">
            <w:pPr>
              <w:spacing w:before="40" w:after="40"/>
              <w:ind w:firstLine="0"/>
              <w:jc w:val="center"/>
            </w:pPr>
            <w:r>
              <w:rPr>
                <w:rFonts w:ascii="Calibri" w:hAnsi="Calibri" w:eastAsia="微软雅黑"/>
                <w:color w:val="5D6D7E"/>
                <w:sz w:val="20"/>
              </w:rPr>
              <w:t>280</w:t>
            </w:r>
          </w:p>
        </w:tc>
        <w:tc>
          <w:tcPr>
            <w:tcW w:w="2000" w:type="dxa"/>
          </w:tcPr>
          <w:p w14:paraId="626834C0">
            <w:pPr>
              <w:spacing w:before="40" w:after="40"/>
              <w:ind w:firstLine="0"/>
              <w:jc w:val="center"/>
            </w:pPr>
            <w:r>
              <w:rPr>
                <w:rFonts w:ascii="Calibri" w:hAnsi="Calibri" w:eastAsia="微软雅黑"/>
                <w:color w:val="5D6D7E"/>
                <w:sz w:val="20"/>
              </w:rPr>
              <w:t>510</w:t>
            </w:r>
          </w:p>
        </w:tc>
      </w:tr>
      <w:tr w14:paraId="2579AF8E">
        <w:tc>
          <w:tcPr>
            <w:tcW w:w="2000" w:type="dxa"/>
          </w:tcPr>
          <w:p w14:paraId="64E8B571">
            <w:pPr>
              <w:spacing w:before="40" w:after="40"/>
              <w:ind w:firstLine="0"/>
              <w:jc w:val="center"/>
            </w:pPr>
            <w:r>
              <w:rPr>
                <w:rFonts w:ascii="Calibri" w:hAnsi="Calibri" w:eastAsia="微软雅黑"/>
                <w:color w:val="5D6D7E"/>
                <w:sz w:val="20"/>
              </w:rPr>
              <w:t>研发费用</w:t>
            </w:r>
          </w:p>
        </w:tc>
        <w:tc>
          <w:tcPr>
            <w:tcW w:w="2000" w:type="dxa"/>
          </w:tcPr>
          <w:p w14:paraId="108E22CE">
            <w:pPr>
              <w:spacing w:before="40" w:after="40"/>
              <w:ind w:firstLine="0"/>
              <w:jc w:val="center"/>
            </w:pPr>
            <w:r>
              <w:rPr>
                <w:rFonts w:ascii="Calibri" w:hAnsi="Calibri" w:eastAsia="微软雅黑"/>
                <w:color w:val="5D6D7E"/>
                <w:sz w:val="20"/>
              </w:rPr>
              <w:t>50</w:t>
            </w:r>
          </w:p>
        </w:tc>
        <w:tc>
          <w:tcPr>
            <w:tcW w:w="2000" w:type="dxa"/>
          </w:tcPr>
          <w:p w14:paraId="5ABC903E">
            <w:pPr>
              <w:spacing w:before="40" w:after="40"/>
              <w:ind w:firstLine="0"/>
              <w:jc w:val="center"/>
            </w:pPr>
            <w:r>
              <w:rPr>
                <w:rFonts w:ascii="Calibri" w:hAnsi="Calibri" w:eastAsia="微软雅黑"/>
                <w:color w:val="5D6D7E"/>
                <w:sz w:val="20"/>
              </w:rPr>
              <w:t>80</w:t>
            </w:r>
          </w:p>
        </w:tc>
        <w:tc>
          <w:tcPr>
            <w:tcW w:w="2000" w:type="dxa"/>
          </w:tcPr>
          <w:p w14:paraId="171EC15B">
            <w:pPr>
              <w:spacing w:before="40" w:after="40"/>
              <w:ind w:firstLine="0"/>
              <w:jc w:val="center"/>
            </w:pPr>
            <w:r>
              <w:rPr>
                <w:rFonts w:ascii="Calibri" w:hAnsi="Calibri" w:eastAsia="微软雅黑"/>
                <w:color w:val="5D6D7E"/>
                <w:sz w:val="20"/>
              </w:rPr>
              <w:t>120</w:t>
            </w:r>
          </w:p>
        </w:tc>
        <w:tc>
          <w:tcPr>
            <w:tcW w:w="2000" w:type="dxa"/>
          </w:tcPr>
          <w:p w14:paraId="053AD9B5">
            <w:pPr>
              <w:spacing w:before="40" w:after="40"/>
              <w:ind w:firstLine="0"/>
              <w:jc w:val="center"/>
            </w:pPr>
            <w:r>
              <w:rPr>
                <w:rFonts w:ascii="Calibri" w:hAnsi="Calibri" w:eastAsia="微软雅黑"/>
                <w:color w:val="5D6D7E"/>
                <w:sz w:val="20"/>
              </w:rPr>
              <w:t>250</w:t>
            </w:r>
          </w:p>
        </w:tc>
      </w:tr>
      <w:tr w14:paraId="6C5673D5">
        <w:tc>
          <w:tcPr>
            <w:tcW w:w="2000" w:type="dxa"/>
          </w:tcPr>
          <w:p w14:paraId="6CF19845">
            <w:pPr>
              <w:spacing w:before="40" w:after="40"/>
              <w:ind w:firstLine="0"/>
              <w:jc w:val="center"/>
            </w:pPr>
            <w:r>
              <w:rPr>
                <w:rFonts w:ascii="Calibri" w:hAnsi="Calibri" w:eastAsia="微软雅黑"/>
                <w:color w:val="5D6D7E"/>
                <w:sz w:val="20"/>
              </w:rPr>
              <w:t>净利润</w:t>
            </w:r>
          </w:p>
        </w:tc>
        <w:tc>
          <w:tcPr>
            <w:tcW w:w="2000" w:type="dxa"/>
          </w:tcPr>
          <w:p w14:paraId="46F04651">
            <w:pPr>
              <w:spacing w:before="40" w:after="40"/>
              <w:ind w:firstLine="0"/>
              <w:jc w:val="center"/>
            </w:pPr>
            <w:r>
              <w:rPr>
                <w:rFonts w:ascii="Calibri" w:hAnsi="Calibri" w:eastAsia="微软雅黑"/>
                <w:color w:val="5D6D7E"/>
                <w:sz w:val="20"/>
              </w:rPr>
              <w:t>-65</w:t>
            </w:r>
          </w:p>
        </w:tc>
        <w:tc>
          <w:tcPr>
            <w:tcW w:w="2000" w:type="dxa"/>
          </w:tcPr>
          <w:p w14:paraId="41C3890A">
            <w:pPr>
              <w:spacing w:before="40" w:after="40"/>
              <w:ind w:firstLine="0"/>
              <w:jc w:val="center"/>
            </w:pPr>
            <w:r>
              <w:rPr>
                <w:rFonts w:ascii="Calibri" w:hAnsi="Calibri" w:eastAsia="微软雅黑"/>
                <w:color w:val="5D6D7E"/>
                <w:sz w:val="20"/>
              </w:rPr>
              <w:t>-30</w:t>
            </w:r>
          </w:p>
        </w:tc>
        <w:tc>
          <w:tcPr>
            <w:tcW w:w="2000" w:type="dxa"/>
          </w:tcPr>
          <w:p w14:paraId="7A769E8B">
            <w:pPr>
              <w:spacing w:before="40" w:after="40"/>
              <w:ind w:firstLine="0"/>
              <w:jc w:val="center"/>
            </w:pPr>
            <w:r>
              <w:rPr>
                <w:rFonts w:ascii="Calibri" w:hAnsi="Calibri" w:eastAsia="微软雅黑"/>
                <w:color w:val="5D6D7E"/>
                <w:sz w:val="20"/>
              </w:rPr>
              <w:t>170</w:t>
            </w:r>
          </w:p>
        </w:tc>
        <w:tc>
          <w:tcPr>
            <w:tcW w:w="2000" w:type="dxa"/>
          </w:tcPr>
          <w:p w14:paraId="7B63006D">
            <w:pPr>
              <w:spacing w:before="40" w:after="40"/>
              <w:ind w:firstLine="0"/>
              <w:jc w:val="center"/>
            </w:pPr>
            <w:r>
              <w:rPr>
                <w:rFonts w:ascii="Calibri" w:hAnsi="Calibri" w:eastAsia="微软雅黑"/>
                <w:color w:val="5D6D7E"/>
                <w:sz w:val="20"/>
              </w:rPr>
              <w:t>75</w:t>
            </w:r>
          </w:p>
        </w:tc>
      </w:tr>
    </w:tbl>
    <w:p w14:paraId="3AED21D9">
      <w:pPr>
        <w:pStyle w:val="5"/>
      </w:pPr>
      <w:r>
        <w:t>表10：三年财务预测（单位：万元）</w:t>
      </w:r>
    </w:p>
    <w:p w14:paraId="4EEEAC1E">
      <w:r>
        <w:t>财务预测基于以下关键假设：（1）产品定价和服务费率保持稳定；（2）客户获取成本随品牌知名度提升逐步下降；（3）研发投入占比从100%逐步降至12%，体现规模效应；（4）2028年实现盈亏平衡并进入盈利期。</w:t>
      </w:r>
    </w:p>
    <w:p w14:paraId="0500A05B">
      <w:r>
        <w:t>表11展示了收入结构的逐年变化。</w:t>
      </w:r>
    </w:p>
    <w:tbl>
      <w:tblPr>
        <w:tblStyle w:val="11"/>
        <w:tblW w:w="5000" w:type="pct"/>
        <w:tblInd w:w="0" w:type="dxa"/>
        <w:tblBorders>
          <w:top w:val="single" w:color="2C3E50" w:sz="12" w:space="0"/>
          <w:left w:val="none" w:color="auto" w:sz="0" w:space="0"/>
          <w:bottom w:val="single" w:color="2C3E50" w:sz="12" w:space="0"/>
          <w:right w:val="none" w:color="auto" w:sz="0" w:space="0"/>
          <w:insideH w:val="single" w:color="BDC3C7" w:sz="4" w:space="0"/>
          <w:insideV w:val="none" w:color="auto" w:sz="0" w:space="0"/>
        </w:tblBorders>
        <w:tblLayout w:type="autofit"/>
        <w:tblCellMar>
          <w:top w:w="0" w:type="dxa"/>
          <w:left w:w="10" w:type="dxa"/>
          <w:bottom w:w="0" w:type="dxa"/>
          <w:right w:w="10" w:type="dxa"/>
        </w:tblCellMar>
      </w:tblPr>
      <w:tblGrid>
        <w:gridCol w:w="2263"/>
        <w:gridCol w:w="2261"/>
        <w:gridCol w:w="2261"/>
        <w:gridCol w:w="2261"/>
      </w:tblGrid>
      <w:tr w14:paraId="65D6039F">
        <w:trPr>
          <w:tblHeader/>
        </w:trPr>
        <w:tc>
          <w:tcPr>
            <w:tcW w:w="2500" w:type="dxa"/>
            <w:shd w:val="clear" w:color="auto" w:fill="EBF5FB"/>
          </w:tcPr>
          <w:p w14:paraId="2D5BCF63">
            <w:pPr>
              <w:spacing w:before="40" w:after="40"/>
              <w:ind w:firstLine="0"/>
              <w:jc w:val="center"/>
            </w:pPr>
            <w:r>
              <w:rPr>
                <w:rFonts w:ascii="Calibri" w:hAnsi="Calibri" w:eastAsia="微软雅黑"/>
                <w:b/>
                <w:color w:val="1A252F"/>
                <w:sz w:val="20"/>
              </w:rPr>
              <w:t>收入类型</w:t>
            </w:r>
          </w:p>
        </w:tc>
        <w:tc>
          <w:tcPr>
            <w:tcW w:w="2500" w:type="dxa"/>
            <w:shd w:val="clear" w:color="auto" w:fill="EBF5FB"/>
          </w:tcPr>
          <w:p w14:paraId="335D4D44">
            <w:pPr>
              <w:spacing w:before="40" w:after="40"/>
              <w:ind w:firstLine="0"/>
              <w:jc w:val="center"/>
            </w:pPr>
            <w:r>
              <w:rPr>
                <w:rFonts w:ascii="Calibri" w:hAnsi="Calibri" w:eastAsia="微软雅黑"/>
                <w:b/>
                <w:color w:val="1A252F"/>
                <w:sz w:val="20"/>
              </w:rPr>
              <w:t>2026年占比</w:t>
            </w:r>
          </w:p>
        </w:tc>
        <w:tc>
          <w:tcPr>
            <w:tcW w:w="2500" w:type="dxa"/>
            <w:shd w:val="clear" w:color="auto" w:fill="EBF5FB"/>
          </w:tcPr>
          <w:p w14:paraId="599B970B">
            <w:pPr>
              <w:spacing w:before="40" w:after="40"/>
              <w:ind w:firstLine="0"/>
              <w:jc w:val="center"/>
            </w:pPr>
            <w:r>
              <w:rPr>
                <w:rFonts w:ascii="Calibri" w:hAnsi="Calibri" w:eastAsia="微软雅黑"/>
                <w:b/>
                <w:color w:val="1A252F"/>
                <w:sz w:val="20"/>
              </w:rPr>
              <w:t>2027年占比</w:t>
            </w:r>
          </w:p>
        </w:tc>
        <w:tc>
          <w:tcPr>
            <w:tcW w:w="2500" w:type="dxa"/>
            <w:shd w:val="clear" w:color="auto" w:fill="EBF5FB"/>
          </w:tcPr>
          <w:p w14:paraId="1FF08E50">
            <w:pPr>
              <w:spacing w:before="40" w:after="40"/>
              <w:ind w:firstLine="0"/>
              <w:jc w:val="center"/>
            </w:pPr>
            <w:r>
              <w:rPr>
                <w:rFonts w:ascii="Calibri" w:hAnsi="Calibri" w:eastAsia="微软雅黑"/>
                <w:b/>
                <w:color w:val="1A252F"/>
                <w:sz w:val="20"/>
              </w:rPr>
              <w:t>2028年占比</w:t>
            </w:r>
          </w:p>
        </w:tc>
      </w:tr>
      <w:tr w14:paraId="69C57BD2">
        <w:tc>
          <w:tcPr>
            <w:tcW w:w="2500" w:type="dxa"/>
          </w:tcPr>
          <w:p w14:paraId="136F7F3E">
            <w:pPr>
              <w:spacing w:before="40" w:after="40"/>
              <w:ind w:firstLine="0"/>
              <w:jc w:val="center"/>
            </w:pPr>
            <w:r>
              <w:rPr>
                <w:rFonts w:ascii="Calibri" w:hAnsi="Calibri" w:eastAsia="微软雅黑"/>
                <w:color w:val="5D6D7E"/>
                <w:sz w:val="20"/>
              </w:rPr>
              <w:t>SaaS订阅</w:t>
            </w:r>
          </w:p>
        </w:tc>
        <w:tc>
          <w:tcPr>
            <w:tcW w:w="2500" w:type="dxa"/>
          </w:tcPr>
          <w:p w14:paraId="60D8C4C9">
            <w:pPr>
              <w:spacing w:before="40" w:after="40"/>
              <w:ind w:firstLine="0"/>
              <w:jc w:val="center"/>
            </w:pPr>
            <w:r>
              <w:rPr>
                <w:rFonts w:ascii="Calibri" w:hAnsi="Calibri" w:eastAsia="微软雅黑"/>
                <w:color w:val="5D6D7E"/>
                <w:sz w:val="20"/>
              </w:rPr>
              <w:t>20%</w:t>
            </w:r>
          </w:p>
        </w:tc>
        <w:tc>
          <w:tcPr>
            <w:tcW w:w="2500" w:type="dxa"/>
          </w:tcPr>
          <w:p w14:paraId="7CB1A63D">
            <w:pPr>
              <w:spacing w:before="40" w:after="40"/>
              <w:ind w:firstLine="0"/>
              <w:jc w:val="center"/>
            </w:pPr>
            <w:r>
              <w:rPr>
                <w:rFonts w:ascii="Calibri" w:hAnsi="Calibri" w:eastAsia="微软雅黑"/>
                <w:color w:val="5D6D7E"/>
                <w:sz w:val="20"/>
              </w:rPr>
              <w:t>27%</w:t>
            </w:r>
          </w:p>
        </w:tc>
        <w:tc>
          <w:tcPr>
            <w:tcW w:w="2500" w:type="dxa"/>
          </w:tcPr>
          <w:p w14:paraId="6AF1FE2A">
            <w:pPr>
              <w:spacing w:before="40" w:after="40"/>
              <w:ind w:firstLine="0"/>
              <w:jc w:val="center"/>
            </w:pPr>
            <w:r>
              <w:rPr>
                <w:rFonts w:ascii="Calibri" w:hAnsi="Calibri" w:eastAsia="微软雅黑"/>
                <w:color w:val="5D6D7E"/>
                <w:sz w:val="20"/>
              </w:rPr>
              <w:t>30%</w:t>
            </w:r>
          </w:p>
        </w:tc>
      </w:tr>
      <w:tr w14:paraId="52654A38">
        <w:tc>
          <w:tcPr>
            <w:tcW w:w="2500" w:type="dxa"/>
          </w:tcPr>
          <w:p w14:paraId="3628E99D">
            <w:pPr>
              <w:spacing w:before="40" w:after="40"/>
              <w:ind w:firstLine="0"/>
              <w:jc w:val="center"/>
            </w:pPr>
            <w:r>
              <w:rPr>
                <w:rFonts w:ascii="Calibri" w:hAnsi="Calibri" w:eastAsia="微软雅黑"/>
                <w:color w:val="5D6D7E"/>
                <w:sz w:val="20"/>
              </w:rPr>
              <w:t>私有化部署</w:t>
            </w:r>
          </w:p>
        </w:tc>
        <w:tc>
          <w:tcPr>
            <w:tcW w:w="2500" w:type="dxa"/>
          </w:tcPr>
          <w:p w14:paraId="2D5E54BD">
            <w:pPr>
              <w:spacing w:before="40" w:after="40"/>
              <w:ind w:firstLine="0"/>
              <w:jc w:val="center"/>
            </w:pPr>
            <w:r>
              <w:rPr>
                <w:rFonts w:ascii="Calibri" w:hAnsi="Calibri" w:eastAsia="微软雅黑"/>
                <w:color w:val="5D6D7E"/>
                <w:sz w:val="20"/>
              </w:rPr>
              <w:t>60%</w:t>
            </w:r>
          </w:p>
        </w:tc>
        <w:tc>
          <w:tcPr>
            <w:tcW w:w="2500" w:type="dxa"/>
          </w:tcPr>
          <w:p w14:paraId="59944FA6">
            <w:pPr>
              <w:spacing w:before="40" w:after="40"/>
              <w:ind w:firstLine="0"/>
              <w:jc w:val="center"/>
            </w:pPr>
            <w:r>
              <w:rPr>
                <w:rFonts w:ascii="Calibri" w:hAnsi="Calibri" w:eastAsia="微软雅黑"/>
                <w:color w:val="5D6D7E"/>
                <w:sz w:val="20"/>
              </w:rPr>
              <w:t>60%</w:t>
            </w:r>
          </w:p>
        </w:tc>
        <w:tc>
          <w:tcPr>
            <w:tcW w:w="2500" w:type="dxa"/>
          </w:tcPr>
          <w:p w14:paraId="6424102C">
            <w:pPr>
              <w:spacing w:before="40" w:after="40"/>
              <w:ind w:firstLine="0"/>
              <w:jc w:val="center"/>
            </w:pPr>
            <w:r>
              <w:rPr>
                <w:rFonts w:ascii="Calibri" w:hAnsi="Calibri" w:eastAsia="微软雅黑"/>
                <w:color w:val="5D6D7E"/>
                <w:sz w:val="20"/>
              </w:rPr>
              <w:t>55%</w:t>
            </w:r>
          </w:p>
        </w:tc>
      </w:tr>
      <w:tr w14:paraId="2919C20B">
        <w:tc>
          <w:tcPr>
            <w:tcW w:w="2500" w:type="dxa"/>
          </w:tcPr>
          <w:p w14:paraId="2EB3999E">
            <w:pPr>
              <w:spacing w:before="40" w:after="40"/>
              <w:ind w:firstLine="0"/>
              <w:jc w:val="center"/>
            </w:pPr>
            <w:r>
              <w:rPr>
                <w:rFonts w:ascii="Calibri" w:hAnsi="Calibri" w:eastAsia="微软雅黑"/>
                <w:color w:val="5D6D7E"/>
                <w:sz w:val="20"/>
              </w:rPr>
              <w:t>增值服务</w:t>
            </w:r>
          </w:p>
        </w:tc>
        <w:tc>
          <w:tcPr>
            <w:tcW w:w="2500" w:type="dxa"/>
          </w:tcPr>
          <w:p w14:paraId="386DED3D">
            <w:pPr>
              <w:spacing w:before="40" w:after="40"/>
              <w:ind w:firstLine="0"/>
              <w:jc w:val="center"/>
            </w:pPr>
            <w:r>
              <w:rPr>
                <w:rFonts w:ascii="Calibri" w:hAnsi="Calibri" w:eastAsia="微软雅黑"/>
                <w:color w:val="5D6D7E"/>
                <w:sz w:val="20"/>
              </w:rPr>
              <w:t>20%</w:t>
            </w:r>
          </w:p>
        </w:tc>
        <w:tc>
          <w:tcPr>
            <w:tcW w:w="2500" w:type="dxa"/>
          </w:tcPr>
          <w:p w14:paraId="35540F9E">
            <w:pPr>
              <w:spacing w:before="40" w:after="40"/>
              <w:ind w:firstLine="0"/>
              <w:jc w:val="center"/>
            </w:pPr>
            <w:r>
              <w:rPr>
                <w:rFonts w:ascii="Calibri" w:hAnsi="Calibri" w:eastAsia="微软雅黑"/>
                <w:color w:val="5D6D7E"/>
                <w:sz w:val="20"/>
              </w:rPr>
              <w:t>13%</w:t>
            </w:r>
          </w:p>
        </w:tc>
        <w:tc>
          <w:tcPr>
            <w:tcW w:w="2500" w:type="dxa"/>
          </w:tcPr>
          <w:p w14:paraId="20335ECC">
            <w:pPr>
              <w:spacing w:before="40" w:after="40"/>
              <w:ind w:firstLine="0"/>
              <w:jc w:val="center"/>
            </w:pPr>
            <w:r>
              <w:rPr>
                <w:rFonts w:ascii="Calibri" w:hAnsi="Calibri" w:eastAsia="微软雅黑"/>
                <w:color w:val="5D6D7E"/>
                <w:sz w:val="20"/>
              </w:rPr>
              <w:t>15%</w:t>
            </w:r>
          </w:p>
        </w:tc>
      </w:tr>
    </w:tbl>
    <w:p w14:paraId="2D1BC645">
      <w:pPr>
        <w:pStyle w:val="5"/>
      </w:pPr>
      <w:r>
        <w:t>表11：收入结构预测</w:t>
      </w:r>
    </w:p>
    <w:p w14:paraId="26358AB7">
      <w:pPr>
        <w:pStyle w:val="2"/>
      </w:pPr>
      <w:r>
        <w:t>十一、风险与对策</w:t>
      </w:r>
      <w:bookmarkStart w:id="11" w:name="_Toc011"/>
      <w:bookmarkEnd w:id="11"/>
    </w:p>
    <w:p w14:paraId="255EACFF">
      <w:r>
        <w:t>表12系统梳理了项目面临的主要风险及应对措施。</w:t>
      </w:r>
    </w:p>
    <w:tbl>
      <w:tblPr>
        <w:tblStyle w:val="11"/>
        <w:tblW w:w="5000" w:type="pct"/>
        <w:tblInd w:w="0" w:type="dxa"/>
        <w:tblBorders>
          <w:top w:val="single" w:color="2C3E50" w:sz="12" w:space="0"/>
          <w:left w:val="none" w:color="auto" w:sz="0" w:space="0"/>
          <w:bottom w:val="single" w:color="2C3E50" w:sz="12" w:space="0"/>
          <w:right w:val="none" w:color="auto" w:sz="0" w:space="0"/>
          <w:insideH w:val="single" w:color="BDC3C7" w:sz="4" w:space="0"/>
          <w:insideV w:val="none" w:color="auto" w:sz="0" w:space="0"/>
        </w:tblBorders>
        <w:tblLayout w:type="autofit"/>
        <w:tblCellMar>
          <w:top w:w="0" w:type="dxa"/>
          <w:left w:w="10" w:type="dxa"/>
          <w:bottom w:w="0" w:type="dxa"/>
          <w:right w:w="10" w:type="dxa"/>
        </w:tblCellMar>
      </w:tblPr>
      <w:tblGrid>
        <w:gridCol w:w="1360"/>
        <w:gridCol w:w="2272"/>
        <w:gridCol w:w="2696"/>
        <w:gridCol w:w="2718"/>
      </w:tblGrid>
      <w:tr w14:paraId="3F3ABC07">
        <w:trPr>
          <w:tblHeader/>
        </w:trPr>
        <w:tc>
          <w:tcPr>
            <w:tcW w:w="1500" w:type="dxa"/>
            <w:shd w:val="clear" w:color="auto" w:fill="EBF5FB"/>
          </w:tcPr>
          <w:p w14:paraId="37909F05">
            <w:pPr>
              <w:spacing w:before="40" w:after="40"/>
              <w:ind w:firstLine="0"/>
              <w:jc w:val="center"/>
            </w:pPr>
            <w:r>
              <w:rPr>
                <w:rFonts w:ascii="Calibri" w:hAnsi="Calibri" w:eastAsia="微软雅黑"/>
                <w:b/>
                <w:color w:val="1A252F"/>
                <w:sz w:val="20"/>
              </w:rPr>
              <w:t>风险类型</w:t>
            </w:r>
          </w:p>
        </w:tc>
        <w:tc>
          <w:tcPr>
            <w:tcW w:w="2500" w:type="dxa"/>
            <w:shd w:val="clear" w:color="auto" w:fill="EBF5FB"/>
          </w:tcPr>
          <w:p w14:paraId="5267A0F6">
            <w:pPr>
              <w:spacing w:before="40" w:after="40"/>
              <w:ind w:firstLine="0"/>
              <w:jc w:val="center"/>
            </w:pPr>
            <w:r>
              <w:rPr>
                <w:rFonts w:ascii="Calibri" w:hAnsi="Calibri" w:eastAsia="微软雅黑"/>
                <w:b/>
                <w:color w:val="1A252F"/>
                <w:sz w:val="20"/>
              </w:rPr>
              <w:t>风险描述</w:t>
            </w:r>
          </w:p>
        </w:tc>
        <w:tc>
          <w:tcPr>
            <w:tcW w:w="3000" w:type="dxa"/>
            <w:shd w:val="clear" w:color="auto" w:fill="EBF5FB"/>
          </w:tcPr>
          <w:p w14:paraId="47C52B0F">
            <w:pPr>
              <w:spacing w:before="40" w:after="40"/>
              <w:ind w:firstLine="0"/>
              <w:jc w:val="center"/>
            </w:pPr>
            <w:r>
              <w:rPr>
                <w:rFonts w:ascii="Calibri" w:hAnsi="Calibri" w:eastAsia="微软雅黑"/>
                <w:b/>
                <w:color w:val="1A252F"/>
                <w:sz w:val="20"/>
              </w:rPr>
              <w:t>影响程度</w:t>
            </w:r>
          </w:p>
        </w:tc>
        <w:tc>
          <w:tcPr>
            <w:tcW w:w="3000" w:type="dxa"/>
            <w:shd w:val="clear" w:color="auto" w:fill="EBF5FB"/>
          </w:tcPr>
          <w:p w14:paraId="64C5DC24">
            <w:pPr>
              <w:spacing w:before="40" w:after="40"/>
              <w:ind w:firstLine="0"/>
              <w:jc w:val="center"/>
            </w:pPr>
            <w:r>
              <w:rPr>
                <w:rFonts w:ascii="Calibri" w:hAnsi="Calibri" w:eastAsia="微软雅黑"/>
                <w:b/>
                <w:color w:val="1A252F"/>
                <w:sz w:val="20"/>
              </w:rPr>
              <w:t>应对措施</w:t>
            </w:r>
          </w:p>
        </w:tc>
      </w:tr>
      <w:tr w14:paraId="4487F0FE">
        <w:tc>
          <w:tcPr>
            <w:tcW w:w="1500" w:type="dxa"/>
          </w:tcPr>
          <w:p w14:paraId="09EA38BB">
            <w:pPr>
              <w:spacing w:before="40" w:after="40"/>
              <w:ind w:firstLine="0"/>
              <w:jc w:val="center"/>
            </w:pPr>
            <w:r>
              <w:rPr>
                <w:rFonts w:ascii="Calibri" w:hAnsi="Calibri" w:eastAsia="微软雅黑"/>
                <w:color w:val="5D6D7E"/>
                <w:sz w:val="20"/>
              </w:rPr>
              <w:t>技术风险</w:t>
            </w:r>
          </w:p>
        </w:tc>
        <w:tc>
          <w:tcPr>
            <w:tcW w:w="2500" w:type="dxa"/>
          </w:tcPr>
          <w:p w14:paraId="40C5A8AB">
            <w:pPr>
              <w:spacing w:before="40" w:after="40"/>
              <w:ind w:firstLine="0"/>
              <w:jc w:val="center"/>
            </w:pPr>
            <w:r>
              <w:rPr>
                <w:rFonts w:ascii="Calibri" w:hAnsi="Calibri" w:eastAsia="微软雅黑"/>
                <w:color w:val="5D6D7E"/>
                <w:sz w:val="20"/>
              </w:rPr>
              <w:t>算法模型在实际工况下精度下降</w:t>
            </w:r>
          </w:p>
        </w:tc>
        <w:tc>
          <w:tcPr>
            <w:tcW w:w="3000" w:type="dxa"/>
          </w:tcPr>
          <w:p w14:paraId="376EA39B">
            <w:pPr>
              <w:spacing w:before="40" w:after="40"/>
              <w:ind w:firstLine="0"/>
              <w:jc w:val="center"/>
            </w:pPr>
            <w:r>
              <w:rPr>
                <w:rFonts w:ascii="Calibri" w:hAnsi="Calibri" w:eastAsia="微软雅黑"/>
                <w:color w:val="5D6D7E"/>
                <w:sz w:val="20"/>
              </w:rPr>
              <w:t>中</w:t>
            </w:r>
          </w:p>
        </w:tc>
        <w:tc>
          <w:tcPr>
            <w:tcW w:w="3000" w:type="dxa"/>
          </w:tcPr>
          <w:p w14:paraId="172BD262">
            <w:pPr>
              <w:spacing w:before="40" w:after="40"/>
              <w:ind w:firstLine="0"/>
              <w:jc w:val="center"/>
            </w:pPr>
            <w:r>
              <w:rPr>
                <w:rFonts w:ascii="Calibri" w:hAnsi="Calibri" w:eastAsia="微软雅黑"/>
                <w:color w:val="5D6D7E"/>
                <w:sz w:val="20"/>
              </w:rPr>
              <w:t>持续采集真实数据优化模型、建立模型迭代机制</w:t>
            </w:r>
          </w:p>
        </w:tc>
      </w:tr>
      <w:tr w14:paraId="4C450DFE">
        <w:tc>
          <w:tcPr>
            <w:tcW w:w="1500" w:type="dxa"/>
          </w:tcPr>
          <w:p w14:paraId="39B0DDE0">
            <w:pPr>
              <w:spacing w:before="40" w:after="40"/>
              <w:ind w:firstLine="0"/>
              <w:jc w:val="center"/>
            </w:pPr>
            <w:r>
              <w:rPr>
                <w:rFonts w:ascii="Calibri" w:hAnsi="Calibri" w:eastAsia="微软雅黑"/>
                <w:color w:val="5D6D7E"/>
                <w:sz w:val="20"/>
              </w:rPr>
              <w:t>市场风险</w:t>
            </w:r>
          </w:p>
        </w:tc>
        <w:tc>
          <w:tcPr>
            <w:tcW w:w="2500" w:type="dxa"/>
          </w:tcPr>
          <w:p w14:paraId="5B776EBF">
            <w:pPr>
              <w:spacing w:before="40" w:after="40"/>
              <w:ind w:firstLine="0"/>
              <w:jc w:val="center"/>
            </w:pPr>
            <w:r>
              <w:rPr>
                <w:rFonts w:ascii="Calibri" w:hAnsi="Calibri" w:eastAsia="微软雅黑"/>
                <w:color w:val="5D6D7E"/>
                <w:sz w:val="20"/>
              </w:rPr>
              <w:t>客户付费意愿不足、销售周期过长</w:t>
            </w:r>
          </w:p>
        </w:tc>
        <w:tc>
          <w:tcPr>
            <w:tcW w:w="3000" w:type="dxa"/>
          </w:tcPr>
          <w:p w14:paraId="563C37F1">
            <w:pPr>
              <w:spacing w:before="40" w:after="40"/>
              <w:ind w:firstLine="0"/>
              <w:jc w:val="center"/>
            </w:pPr>
            <w:r>
              <w:rPr>
                <w:rFonts w:ascii="Calibri" w:hAnsi="Calibri" w:eastAsia="微软雅黑"/>
                <w:color w:val="5D6D7E"/>
                <w:sz w:val="20"/>
              </w:rPr>
              <w:t>高</w:t>
            </w:r>
          </w:p>
        </w:tc>
        <w:tc>
          <w:tcPr>
            <w:tcW w:w="3000" w:type="dxa"/>
          </w:tcPr>
          <w:p w14:paraId="3406F206">
            <w:pPr>
              <w:spacing w:before="40" w:after="40"/>
              <w:ind w:firstLine="0"/>
              <w:jc w:val="center"/>
            </w:pPr>
            <w:r>
              <w:rPr>
                <w:rFonts w:ascii="Calibri" w:hAnsi="Calibri" w:eastAsia="微软雅黑"/>
                <w:color w:val="5D6D7E"/>
                <w:sz w:val="20"/>
              </w:rPr>
              <w:t>提供免费试用、先见效后付费、打造标杆案例</w:t>
            </w:r>
          </w:p>
        </w:tc>
      </w:tr>
      <w:tr w14:paraId="55CE3398">
        <w:tc>
          <w:tcPr>
            <w:tcW w:w="1500" w:type="dxa"/>
          </w:tcPr>
          <w:p w14:paraId="085577CE">
            <w:pPr>
              <w:spacing w:before="40" w:after="40"/>
              <w:ind w:firstLine="0"/>
              <w:jc w:val="center"/>
            </w:pPr>
            <w:r>
              <w:rPr>
                <w:rFonts w:ascii="Calibri" w:hAnsi="Calibri" w:eastAsia="微软雅黑"/>
                <w:color w:val="5D6D7E"/>
                <w:sz w:val="20"/>
              </w:rPr>
              <w:t>竞争风险</w:t>
            </w:r>
          </w:p>
        </w:tc>
        <w:tc>
          <w:tcPr>
            <w:tcW w:w="2500" w:type="dxa"/>
          </w:tcPr>
          <w:p w14:paraId="4A3BBFD8">
            <w:pPr>
              <w:spacing w:before="40" w:after="40"/>
              <w:ind w:firstLine="0"/>
              <w:jc w:val="center"/>
            </w:pPr>
            <w:r>
              <w:rPr>
                <w:rFonts w:ascii="Calibri" w:hAnsi="Calibri" w:eastAsia="微软雅黑"/>
                <w:color w:val="5D6D7E"/>
                <w:sz w:val="20"/>
              </w:rPr>
              <w:t>大型工业互联网平台进入市场</w:t>
            </w:r>
          </w:p>
        </w:tc>
        <w:tc>
          <w:tcPr>
            <w:tcW w:w="3000" w:type="dxa"/>
          </w:tcPr>
          <w:p w14:paraId="79139BD7">
            <w:pPr>
              <w:spacing w:before="40" w:after="40"/>
              <w:ind w:firstLine="0"/>
              <w:jc w:val="center"/>
            </w:pPr>
            <w:r>
              <w:rPr>
                <w:rFonts w:ascii="Calibri" w:hAnsi="Calibri" w:eastAsia="微软雅黑"/>
                <w:color w:val="5D6D7E"/>
                <w:sz w:val="20"/>
              </w:rPr>
              <w:t>中</w:t>
            </w:r>
          </w:p>
        </w:tc>
        <w:tc>
          <w:tcPr>
            <w:tcW w:w="3000" w:type="dxa"/>
          </w:tcPr>
          <w:p w14:paraId="470D95DD">
            <w:pPr>
              <w:spacing w:before="40" w:after="40"/>
              <w:ind w:firstLine="0"/>
              <w:jc w:val="center"/>
            </w:pPr>
            <w:r>
              <w:rPr>
                <w:rFonts w:ascii="Calibri" w:hAnsi="Calibri" w:eastAsia="微软雅黑"/>
                <w:color w:val="5D6D7E"/>
                <w:sz w:val="20"/>
              </w:rPr>
              <w:t>深耕钢铁行业、提供专业深度、建立客户粘性</w:t>
            </w:r>
          </w:p>
        </w:tc>
      </w:tr>
      <w:tr w14:paraId="4524FCDC">
        <w:tc>
          <w:tcPr>
            <w:tcW w:w="1500" w:type="dxa"/>
          </w:tcPr>
          <w:p w14:paraId="7C27DB37">
            <w:pPr>
              <w:spacing w:before="40" w:after="40"/>
              <w:ind w:firstLine="0"/>
              <w:jc w:val="center"/>
            </w:pPr>
            <w:r>
              <w:rPr>
                <w:rFonts w:ascii="Calibri" w:hAnsi="Calibri" w:eastAsia="微软雅黑"/>
                <w:color w:val="5D6D7E"/>
                <w:sz w:val="20"/>
              </w:rPr>
              <w:t>团队风险</w:t>
            </w:r>
          </w:p>
        </w:tc>
        <w:tc>
          <w:tcPr>
            <w:tcW w:w="2500" w:type="dxa"/>
          </w:tcPr>
          <w:p w14:paraId="0AE04126">
            <w:pPr>
              <w:spacing w:before="40" w:after="40"/>
              <w:ind w:firstLine="0"/>
              <w:jc w:val="center"/>
            </w:pPr>
            <w:r>
              <w:rPr>
                <w:rFonts w:ascii="Calibri" w:hAnsi="Calibri" w:eastAsia="微软雅黑"/>
                <w:color w:val="5D6D7E"/>
                <w:sz w:val="20"/>
              </w:rPr>
              <w:t>核心成员流失</w:t>
            </w:r>
          </w:p>
        </w:tc>
        <w:tc>
          <w:tcPr>
            <w:tcW w:w="3000" w:type="dxa"/>
          </w:tcPr>
          <w:p w14:paraId="473962C7">
            <w:pPr>
              <w:spacing w:before="40" w:after="40"/>
              <w:ind w:firstLine="0"/>
              <w:jc w:val="center"/>
            </w:pPr>
            <w:r>
              <w:rPr>
                <w:rFonts w:ascii="Calibri" w:hAnsi="Calibri" w:eastAsia="微软雅黑"/>
                <w:color w:val="5D6D7E"/>
                <w:sz w:val="20"/>
              </w:rPr>
              <w:t>中</w:t>
            </w:r>
          </w:p>
        </w:tc>
        <w:tc>
          <w:tcPr>
            <w:tcW w:w="3000" w:type="dxa"/>
          </w:tcPr>
          <w:p w14:paraId="5D6BD1BE">
            <w:pPr>
              <w:spacing w:before="40" w:after="40"/>
              <w:ind w:firstLine="0"/>
              <w:jc w:val="center"/>
            </w:pPr>
            <w:r>
              <w:rPr>
                <w:rFonts w:ascii="Calibri" w:hAnsi="Calibri" w:eastAsia="微软雅黑"/>
                <w:color w:val="5D6D7E"/>
                <w:sz w:val="20"/>
              </w:rPr>
              <w:t>股权激励、知识沉淀、梯队建设</w:t>
            </w:r>
          </w:p>
        </w:tc>
      </w:tr>
      <w:tr w14:paraId="0421A96D">
        <w:tc>
          <w:tcPr>
            <w:tcW w:w="1500" w:type="dxa"/>
          </w:tcPr>
          <w:p w14:paraId="266A7967">
            <w:pPr>
              <w:spacing w:before="40" w:after="40"/>
              <w:ind w:firstLine="0"/>
              <w:jc w:val="center"/>
            </w:pPr>
            <w:r>
              <w:rPr>
                <w:rFonts w:ascii="Calibri" w:hAnsi="Calibri" w:eastAsia="微软雅黑"/>
                <w:color w:val="5D6D7E"/>
                <w:sz w:val="20"/>
              </w:rPr>
              <w:t>政策风险</w:t>
            </w:r>
          </w:p>
        </w:tc>
        <w:tc>
          <w:tcPr>
            <w:tcW w:w="2500" w:type="dxa"/>
          </w:tcPr>
          <w:p w14:paraId="01BE4F1D">
            <w:pPr>
              <w:spacing w:before="40" w:after="40"/>
              <w:ind w:firstLine="0"/>
              <w:jc w:val="center"/>
            </w:pPr>
            <w:r>
              <w:rPr>
                <w:rFonts w:ascii="Calibri" w:hAnsi="Calibri" w:eastAsia="微软雅黑"/>
                <w:color w:val="5D6D7E"/>
                <w:sz w:val="20"/>
              </w:rPr>
              <w:t>行业政策变化影响需求</w:t>
            </w:r>
          </w:p>
        </w:tc>
        <w:tc>
          <w:tcPr>
            <w:tcW w:w="3000" w:type="dxa"/>
          </w:tcPr>
          <w:p w14:paraId="1758A6C8">
            <w:pPr>
              <w:spacing w:before="40" w:after="40"/>
              <w:ind w:firstLine="0"/>
              <w:jc w:val="center"/>
            </w:pPr>
            <w:r>
              <w:rPr>
                <w:rFonts w:ascii="Calibri" w:hAnsi="Calibri" w:eastAsia="微软雅黑"/>
                <w:color w:val="5D6D7E"/>
                <w:sz w:val="20"/>
              </w:rPr>
              <w:t>低</w:t>
            </w:r>
          </w:p>
        </w:tc>
        <w:tc>
          <w:tcPr>
            <w:tcW w:w="3000" w:type="dxa"/>
          </w:tcPr>
          <w:p w14:paraId="57758164">
            <w:pPr>
              <w:spacing w:before="40" w:after="40"/>
              <w:ind w:firstLine="0"/>
              <w:jc w:val="center"/>
            </w:pPr>
            <w:r>
              <w:rPr>
                <w:rFonts w:ascii="Calibri" w:hAnsi="Calibri" w:eastAsia="微软雅黑"/>
                <w:color w:val="5D6D7E"/>
                <w:sz w:val="20"/>
              </w:rPr>
              <w:t>跟踪政策动态、多元化服务场景</w:t>
            </w:r>
          </w:p>
        </w:tc>
      </w:tr>
    </w:tbl>
    <w:p w14:paraId="3152B1AB">
      <w:pPr>
        <w:pStyle w:val="5"/>
      </w:pPr>
      <w:r>
        <w:t>表12：项目风险分析与应对措施</w:t>
      </w:r>
    </w:p>
    <w:p w14:paraId="26523CD6">
      <w:r>
        <w:t>针对市场风险，我们将采取"免费试用+效果付费"的策略，降低客户的决策门槛。通过与行业协会合作举办技术研讨会，扩大品牌影响力。销售团队重点突破1-2家行业标杆客户，以成功案例带动后续销售。</w:t>
      </w:r>
    </w:p>
    <w:p w14:paraId="6AC36421">
      <w:r>
        <w:t>针对竞争风险，我们的核心策略是深耕钢铁行业，建立专业壁垒。相比通用型工业互联网平台，我们专注于冶金领域，深度理解行业工艺和质量标准，提供更精准的算法模型和更贴合业务场景的功能设计。</w:t>
      </w:r>
    </w:p>
    <w:p w14:paraId="015EB425">
      <w:r>
        <w:t>针对技术风险，我们建立了"数据采集-模型训练-在线验证-持续迭代"的闭环机制。每服务一家新客户，都会积累新的工况数据，用于模型持续优化。同时，我们与高校保持紧密合作，及时将最新研究成果转化为产品能力。</w:t>
      </w:r>
    </w:p>
    <w:p w14:paraId="0C3134F4">
      <w:pPr>
        <w:sectPr>
          <w:headerReference r:id="rId7" w:type="default"/>
          <w:footerReference r:id="rId8" w:type="default"/>
          <w:pgSz w:w="11906" w:h="16838"/>
          <w:pgMar w:top="1800" w:right="1440" w:bottom="1440" w:left="1440" w:header="720" w:footer="720" w:gutter="0"/>
          <w:cols w:space="720" w:num="1"/>
        </w:sectPr>
      </w:pPr>
    </w:p>
    <w:p w14:paraId="3ADE3BD6">
      <w:r>
        <w:drawing>
          <wp:anchor distT="0" distB="0" distL="0" distR="0" simplePos="0" relativeHeight="251660288" behindDoc="1" locked="0" layoutInCell="1" allowOverlap="1">
            <wp:simplePos x="0" y="0"/>
            <wp:positionH relativeFrom="page">
              <wp:posOffset>0</wp:posOffset>
            </wp:positionH>
            <wp:positionV relativeFrom="page">
              <wp:posOffset>0</wp:posOffset>
            </wp:positionV>
            <wp:extent cx="7560310" cy="10692130"/>
            <wp:effectExtent l="0" t="0" r="0" b="0"/>
            <wp:wrapNone/>
            <wp:docPr id="11" name="Back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ckBg"/>
                    <pic:cNvPicPr>
                      <a:picLocks noChangeAspect="1"/>
                    </pic:cNvPicPr>
                  </pic:nvPicPr>
                  <pic:blipFill>
                    <a:blip r:embed="rId21"/>
                    <a:stretch>
                      <a:fillRect/>
                    </a:stretch>
                  </pic:blipFill>
                  <pic:spPr>
                    <a:xfrm>
                      <a:off x="0" y="0"/>
                      <a:ext cx="7560000" cy="10692000"/>
                    </a:xfrm>
                    <a:prstGeom prst="rect">
                      <a:avLst/>
                    </a:prstGeom>
                  </pic:spPr>
                </pic:pic>
              </a:graphicData>
            </a:graphic>
          </wp:anchor>
        </w:drawing>
      </w:r>
    </w:p>
    <w:p w14:paraId="59B03945">
      <w:pPr>
        <w:spacing w:before="6000"/>
        <w:jc w:val="center"/>
      </w:pPr>
      <w:r>
        <w:rPr>
          <w:rFonts w:ascii="Calibri" w:hAnsi="Calibri" w:eastAsia="微软雅黑"/>
          <w:b/>
          <w:color w:val="FFFFFF"/>
          <w:sz w:val="56"/>
        </w:rPr>
        <w:t>数智冶能</w:t>
      </w:r>
    </w:p>
    <w:p w14:paraId="5BE2547F">
      <w:pPr>
        <w:spacing w:before="400"/>
        <w:jc w:val="center"/>
      </w:pPr>
      <w:r>
        <w:rPr>
          <w:rFonts w:ascii="Calibri" w:hAnsi="Calibri" w:eastAsia="微软雅黑"/>
          <w:color w:val="3498DB"/>
          <w:sz w:val="24"/>
        </w:rPr>
        <w:t>用数据驱动冶金，让制造更智能</w:t>
      </w:r>
    </w:p>
    <w:p w14:paraId="67E8AB85">
      <w:pPr>
        <w:spacing w:before="3000"/>
        <w:jc w:val="center"/>
      </w:pPr>
      <w:r>
        <w:rPr>
          <w:rFonts w:ascii="Calibri" w:hAnsi="Calibri" w:eastAsia="微软雅黑"/>
          <w:color w:val="95A5A6"/>
          <w:sz w:val="20"/>
        </w:rPr>
        <w:t>华中师范大学 | 数学与统计学学院</w:t>
      </w:r>
    </w:p>
    <w:p w14:paraId="0E5ED17D">
      <w:pPr>
        <w:spacing w:before="100"/>
        <w:jc w:val="center"/>
      </w:pPr>
      <w:r>
        <w:rPr>
          <w:rFonts w:ascii="Calibri" w:hAnsi="Calibri" w:eastAsia="微软雅黑"/>
          <w:color w:val="95A5A6"/>
          <w:sz w:val="20"/>
        </w:rPr>
        <w:t>项目负责人：杨继豪</w:t>
      </w:r>
    </w:p>
    <w:sectPr>
      <w:pgSz w:w="11906" w:h="16838"/>
      <w:pgMar w:top="0" w:right="0" w:bottom="0" w:left="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微软雅黑">
    <w:altName w:val="方正雅意黑 GB18030L2"/>
    <w:panose1 w:val="00000000000000000000"/>
    <w:charset w:val="00"/>
    <w:family w:val="auto"/>
    <w:pitch w:val="default"/>
    <w:sig w:usb0="00000000" w:usb1="00000000" w:usb2="00000000" w:usb3="00000000" w:csb0="00000000" w:csb1="00000000"/>
  </w:font>
  <w:font w:name="汉仪旗黑">
    <w:panose1 w:val="00020600040101010101"/>
    <w:charset w:val="86"/>
    <w:family w:val="auto"/>
    <w:pitch w:val="default"/>
    <w:sig w:usb0="A00002BF" w:usb1="1ACF7CFA" w:usb2="00000016" w:usb3="00000000" w:csb0="0004009F" w:csb1="DFD70000"/>
  </w:font>
  <w:font w:name="方正雅意黑 GB18030L2">
    <w:panose1 w:val="02000500000000000000"/>
    <w:charset w:val="86"/>
    <w:family w:val="auto"/>
    <w:pitch w:val="default"/>
    <w:sig w:usb0="E00002FF" w:usb1="38CFFCFB" w:usb2="00000016" w:usb3="00000000" w:csb0="6004019F" w:csb1="DFD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BB78B">
    <w:pPr>
      <w:jc w:val="center"/>
    </w:pPr>
    <w:r>
      <w:rPr>
        <w:rFonts w:ascii="Calibri" w:hAnsi="Calibri" w:eastAsia="微软雅黑"/>
        <w:color w:val="95A5A6"/>
        <w:sz w:val="18"/>
      </w:rPr>
      <w:t xml:space="preserve">第 </w:t>
    </w:r>
    <w:r>
      <w:rPr>
        <w:rFonts w:ascii="Calibri" w:hAnsi="Calibri" w:eastAsia="微软雅黑"/>
        <w:color w:val="95A5A6"/>
        <w:sz w:val="18"/>
      </w:rPr>
      <w:fldChar w:fldCharType="begin"/>
    </w:r>
    <w:r>
      <w:rPr>
        <w:rFonts w:ascii="Calibri" w:hAnsi="Calibri" w:eastAsia="微软雅黑"/>
        <w:color w:val="95A5A6"/>
        <w:sz w:val="18"/>
      </w:rPr>
      <w:instrText xml:space="preserve"> PAGE </w:instrText>
    </w:r>
    <w:r>
      <w:rPr>
        <w:rFonts w:ascii="Calibri" w:hAnsi="Calibri" w:eastAsia="微软雅黑"/>
        <w:color w:val="95A5A6"/>
        <w:sz w:val="18"/>
      </w:rPr>
      <w:fldChar w:fldCharType="separate"/>
    </w:r>
    <w:r>
      <w:rPr>
        <w:rFonts w:ascii="Calibri" w:hAnsi="Calibri" w:eastAsia="微软雅黑"/>
        <w:color w:val="95A5A6"/>
        <w:sz w:val="18"/>
      </w:rPr>
      <w:t>1</w:t>
    </w:r>
    <w:r>
      <w:rPr>
        <w:rFonts w:ascii="Calibri" w:hAnsi="Calibri" w:eastAsia="微软雅黑"/>
        <w:color w:val="95A5A6"/>
        <w:sz w:val="18"/>
      </w:rPr>
      <w:fldChar w:fldCharType="end"/>
    </w:r>
    <w:r>
      <w:rPr>
        <w:rFonts w:ascii="Calibri" w:hAnsi="Calibri" w:eastAsia="微软雅黑"/>
        <w:color w:val="95A5A6"/>
        <w:sz w:val="18"/>
      </w:rPr>
      <w:t xml:space="preserve"> 页 / 共 </w:t>
    </w:r>
    <w:r>
      <w:rPr>
        <w:rFonts w:ascii="Calibri" w:hAnsi="Calibri" w:eastAsia="微软雅黑"/>
        <w:color w:val="95A5A6"/>
        <w:sz w:val="18"/>
      </w:rPr>
      <w:fldChar w:fldCharType="begin"/>
    </w:r>
    <w:r>
      <w:rPr>
        <w:rFonts w:ascii="Calibri" w:hAnsi="Calibri" w:eastAsia="微软雅黑"/>
        <w:color w:val="95A5A6"/>
        <w:sz w:val="18"/>
      </w:rPr>
      <w:instrText xml:space="preserve"> NUMPAGES </w:instrText>
    </w:r>
    <w:r>
      <w:rPr>
        <w:rFonts w:ascii="Calibri" w:hAnsi="Calibri" w:eastAsia="微软雅黑"/>
        <w:color w:val="95A5A6"/>
        <w:sz w:val="18"/>
      </w:rPr>
      <w:fldChar w:fldCharType="separate"/>
    </w:r>
    <w:r>
      <w:rPr>
        <w:rFonts w:ascii="Calibri" w:hAnsi="Calibri" w:eastAsia="微软雅黑"/>
        <w:color w:val="95A5A6"/>
        <w:sz w:val="18"/>
      </w:rPr>
      <w:t>1</w:t>
    </w:r>
    <w:r>
      <w:rPr>
        <w:rFonts w:ascii="Calibri" w:hAnsi="Calibri" w:eastAsia="微软雅黑"/>
        <w:color w:val="95A5A6"/>
        <w:sz w:val="18"/>
      </w:rPr>
      <w:fldChar w:fldCharType="end"/>
    </w:r>
    <w:r>
      <w:rPr>
        <w:rFonts w:ascii="Calibri" w:hAnsi="Calibri" w:eastAsia="微软雅黑"/>
        <w:color w:val="95A5A6"/>
        <w:sz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AEDEB">
    <w:pPr>
      <w:pStyle w:val="8"/>
    </w:pPr>
    <w:r>
      <w:rPr>
        <w:sz w:val="18"/>
      </w:rPr>
      <w:pict>
        <v:shape id="PowerPlusWaterMarkObject685756" o:spid="_x0000_s2049" o:spt="136" type="#_x0000_t136" style="position:absolute;left:0pt;height:156.2pt;width:431.05pt;mso-position-horizontal:center;mso-position-horizontal-relative:margin;mso-position-vertical:center;mso-position-vertical-relative:margin;rotation:-2949120f;z-index:-251657216;mso-width-relative:page;mso-height-relative:page;" fillcolor="#75BD42" filled="t" stroked="f" coordsize="21600,21600" adj="10800">
          <v:path/>
          <v:fill on="t" opacity="39321f" focussize="0,0"/>
          <v:stroke on="f"/>
          <v:imagedata o:title=""/>
          <o:lock v:ext="edit" aspectratio="t"/>
          <v:textpath on="t" fitshape="t" fitpath="t" trim="t" xscale="f" string="C.Junzheng" style="font-family:凌慧体-简;font-size:36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62963">
    <w:pPr>
      <w:pStyle w:val="8"/>
    </w:pPr>
    <w:r>
      <w:rPr>
        <w:sz w:val="18"/>
      </w:rPr>
      <w:pict>
        <v:shape id="_x0000_s2050" o:spid="_x0000_s2050" o:spt="136" type="#_x0000_t136" style="position:absolute;left:0pt;height:156.2pt;width:431.05pt;mso-position-horizontal:center;mso-position-horizontal-relative:margin;mso-position-vertical:center;mso-position-vertical-relative:margin;rotation:-2949120f;z-index:-251656192;mso-width-relative:page;mso-height-relative:page;" fillcolor="#75BD42" filled="t" stroked="f" coordsize="21600,21600" adj="10800">
          <v:path/>
          <v:fill on="t" opacity="39321f" focussize="0,0"/>
          <v:stroke on="f"/>
          <v:imagedata o:title=""/>
          <o:lock v:ext="edit" aspectratio="t"/>
          <v:textpath on="t" fitshape="t" fitpath="t" trim="t" xscale="f" string="C.Junzheng" style="font-family:凌慧体-简;font-size:36pt;v-same-letter-heights:f;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90EF8">
    <w:pPr>
      <w:jc w:val="right"/>
    </w:pPr>
    <w:r>
      <w:rPr>
        <w:sz w:val="18"/>
      </w:rPr>
      <w:pict>
        <v:shape id="_x0000_s2051" o:spid="_x0000_s2051" o:spt="136" type="#_x0000_t136" style="position:absolute;left:0pt;height:156.2pt;width:431.05pt;mso-position-horizontal:center;mso-position-horizontal-relative:margin;mso-position-vertical:center;mso-position-vertical-relative:margin;rotation:-2949120f;z-index:-251655168;mso-width-relative:page;mso-height-relative:page;" fillcolor="#75BD42" filled="t" stroked="f" coordsize="21600,21600" adj="10800">
          <v:path/>
          <v:fill on="t" opacity="39321f" focussize="0,0"/>
          <v:stroke on="f"/>
          <v:imagedata o:title=""/>
          <o:lock v:ext="edit" aspectratio="t"/>
          <v:textpath on="t" fitshape="t" fitpath="t" trim="t" xscale="f" string="C.Junzheng" style="font-family:凌慧体-简;font-size:36pt;v-same-letter-heights:f;v-text-align:center;"/>
        </v:shape>
      </w:pict>
    </w:r>
    <w:r>
      <w:rPr>
        <w:rFonts w:ascii="Calibri" w:hAnsi="Calibri" w:eastAsia="微软雅黑"/>
        <w:color w:val="95A5A6"/>
        <w:sz w:val="18"/>
      </w:rPr>
      <w:t>数智冶能——东北冶金产业质量智能预警与能效优化平台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DFD716"/>
    <w:multiLevelType w:val="singleLevel"/>
    <w:tmpl w:val="E9DFD716"/>
    <w:lvl w:ilvl="0" w:tentative="0">
      <w:start w:val="0"/>
      <w:numFmt w:val="decimal"/>
      <w:lvlText w:val="%1."/>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documentProtection w:enforcement="0"/>
  <w:hdrShapeDefaults>
    <o:shapelayout v:ext="edit">
      <o:idmap v:ext="edit" data="2"/>
    </o:shapelayout>
  </w:hdrShapeDefaults>
  <w:footnotePr>
    <w:footnote w:id="0"/>
    <w:footnote w:id="1"/>
  </w:footnotePr>
  <w:endnotePr>
    <w:endnote w:id="0"/>
    <w:endnote w:id="1"/>
  </w:endnotePr>
  <w:compat>
    <w:useFELayout/>
    <w:splitPgBreakAndParaMark/>
    <w:compatSetting w:name="compatibilityMode" w:uri="http://schemas.microsoft.com/office/word" w:val="12"/>
  </w:compat>
  <w:rsids>
    <w:rsidRoot w:val="00000000"/>
    <w:rsid w:val="EAFF0CC3"/>
    <w:rsid w:val="FECA12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160" w:line="360" w:lineRule="auto"/>
      <w:ind w:firstLine="480"/>
    </w:pPr>
    <w:rPr>
      <w:rFonts w:ascii="Calibri" w:hAnsi="Calibri" w:eastAsia="微软雅黑" w:cstheme="minorBidi"/>
      <w:color w:val="1A252F"/>
      <w:sz w:val="21"/>
      <w:szCs w:val="22"/>
    </w:rPr>
  </w:style>
  <w:style w:type="paragraph" w:styleId="2">
    <w:name w:val="heading 1"/>
    <w:basedOn w:val="1"/>
    <w:uiPriority w:val="0"/>
    <w:pPr>
      <w:keepNext/>
      <w:keepLines/>
      <w:spacing w:before="600" w:after="240"/>
      <w:ind w:firstLine="0"/>
      <w:outlineLvl w:val="0"/>
    </w:pPr>
    <w:rPr>
      <w:rFonts w:ascii="Calibri" w:hAnsi="Calibri" w:eastAsia="微软雅黑"/>
      <w:b/>
      <w:color w:val="2C3E50"/>
      <w:sz w:val="36"/>
    </w:rPr>
  </w:style>
  <w:style w:type="paragraph" w:styleId="3">
    <w:name w:val="heading 2"/>
    <w:basedOn w:val="1"/>
    <w:uiPriority w:val="0"/>
    <w:pPr>
      <w:keepNext/>
      <w:keepLines/>
      <w:spacing w:before="400" w:after="160"/>
      <w:ind w:firstLine="0"/>
      <w:outlineLvl w:val="1"/>
    </w:pPr>
    <w:rPr>
      <w:rFonts w:ascii="Calibri" w:hAnsi="Calibri" w:eastAsia="微软雅黑"/>
      <w:b/>
      <w:color w:val="34495E"/>
      <w:sz w:val="28"/>
    </w:rPr>
  </w:style>
  <w:style w:type="paragraph" w:styleId="4">
    <w:name w:val="heading 3"/>
    <w:basedOn w:val="1"/>
    <w:uiPriority w:val="0"/>
    <w:pPr>
      <w:keepNext/>
      <w:keepLines/>
      <w:spacing w:before="280" w:after="120"/>
      <w:ind w:firstLine="0"/>
      <w:outlineLvl w:val="2"/>
    </w:pPr>
    <w:rPr>
      <w:rFonts w:ascii="Calibri" w:hAnsi="Calibri" w:eastAsia="微软雅黑"/>
      <w:b/>
      <w:color w:val="5D6D7E"/>
      <w:sz w:val="24"/>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5">
    <w:name w:val="caption"/>
    <w:basedOn w:val="1"/>
    <w:uiPriority w:val="0"/>
    <w:pPr>
      <w:spacing w:before="60" w:after="320"/>
      <w:ind w:firstLine="0"/>
      <w:jc w:val="center"/>
    </w:pPr>
    <w:rPr>
      <w:rFonts w:ascii="Calibri" w:hAnsi="Calibri" w:eastAsia="微软雅黑"/>
      <w:color w:val="95A5A6"/>
      <w:sz w:val="20"/>
    </w:rPr>
  </w:style>
  <w:style w:type="paragraph" w:styleId="6">
    <w:name w:val="toc 3"/>
    <w:basedOn w:val="1"/>
    <w:uiPriority w:val="0"/>
    <w:pPr>
      <w:tabs>
        <w:tab w:val="right" w:leader="dot" w:pos="9350"/>
      </w:tabs>
      <w:spacing w:before="40" w:after="60"/>
      <w:ind w:left="720" w:firstLine="0"/>
    </w:pPr>
    <w:rPr>
      <w:rFonts w:ascii="Calibri" w:hAnsi="Calibri" w:eastAsia="微软雅黑"/>
      <w:color w:val="5D6D7E"/>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uiPriority w:val="0"/>
    <w:pPr>
      <w:tabs>
        <w:tab w:val="right" w:leader="dot" w:pos="9350"/>
      </w:tabs>
      <w:spacing w:before="200" w:after="60"/>
      <w:ind w:left="0" w:firstLine="0"/>
    </w:pPr>
    <w:rPr>
      <w:rFonts w:ascii="Calibri" w:hAnsi="Calibri" w:eastAsia="微软雅黑"/>
      <w:b/>
      <w:color w:val="1A252F"/>
    </w:rPr>
  </w:style>
  <w:style w:type="paragraph" w:styleId="10">
    <w:name w:val="toc 2"/>
    <w:basedOn w:val="1"/>
    <w:uiPriority w:val="0"/>
    <w:pPr>
      <w:tabs>
        <w:tab w:val="right" w:leader="dot" w:pos="9350"/>
      </w:tabs>
      <w:spacing w:before="60" w:after="60"/>
      <w:ind w:left="360" w:firstLine="0"/>
    </w:pPr>
    <w:rPr>
      <w:rFonts w:ascii="Calibri" w:hAnsi="Calibri" w:eastAsia="微软雅黑"/>
      <w:color w:val="5D6D7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0"/>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TotalTime>0</TotalTime>
  <ScaleCrop>false</ScaleCrop>
  <LinksUpToDate>false</LinksUpToDate>
  <Application>WPS Office_12.1.26055.26055_F1E327BC-269C-435d-A152-05C5408002CA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2026-07-09T01:47:00Z</dcterms:created>
  <dc:creator>Data</dc:creator>
  <cp:lastModifiedBy>车君正</cp:lastModifiedBy>
  <dcterms:modified xsi:type="dcterms:W3CDTF">2026-08-17T15:16:52Z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421F57A98463816D6B1D4E6AF0A90D15_42</vt:lpwstr>
  </property>
</Properties>
</file>